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90" w:type="dxa"/>
        <w:jc w:val="center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6" w:space="0" w:color="4472C4" w:themeColor="accent1"/>
          <w:insideV w:val="single" w:sz="6" w:space="0" w:color="4472C4" w:themeColor="accent1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850"/>
        <w:gridCol w:w="3396"/>
        <w:gridCol w:w="2949"/>
        <w:gridCol w:w="1310"/>
      </w:tblGrid>
      <w:tr w:rsidR="00FD055D" w14:paraId="552C908D" w14:textId="77777777" w:rsidTr="00296D8C">
        <w:trPr>
          <w:jc w:val="center"/>
        </w:trPr>
        <w:tc>
          <w:tcPr>
            <w:tcW w:w="10490" w:type="dxa"/>
            <w:gridSpan w:val="5"/>
            <w:shd w:val="clear" w:color="auto" w:fill="B4C6E7" w:themeFill="accent1" w:themeFillTint="66"/>
          </w:tcPr>
          <w:p w14:paraId="7856510F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bookmarkStart w:id="0" w:name="_GoBack"/>
            <w:bookmarkEnd w:id="0"/>
            <w:r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>Modul 1</w:t>
            </w:r>
          </w:p>
          <w:p w14:paraId="22709C65" w14:textId="6627BCD4" w:rsidR="00FD055D" w:rsidRDefault="0052476F" w:rsidP="00815536">
            <w:pPr>
              <w:widowControl w:val="0"/>
              <w:spacing w:line="276" w:lineRule="auto"/>
              <w:ind w:left="0"/>
              <w:jc w:val="center"/>
            </w:pPr>
            <w:r w:rsidRPr="0052476F"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>Funktionen von Wahlen in der Demokratie</w:t>
            </w:r>
          </w:p>
        </w:tc>
      </w:tr>
      <w:tr w:rsidR="00FD055D" w14:paraId="0C6A8560" w14:textId="77777777" w:rsidTr="00296D8C">
        <w:trPr>
          <w:jc w:val="center"/>
        </w:trPr>
        <w:tc>
          <w:tcPr>
            <w:tcW w:w="10490" w:type="dxa"/>
            <w:gridSpan w:val="5"/>
            <w:shd w:val="clear" w:color="auto" w:fill="D9E2F3" w:themeFill="accent1" w:themeFillTint="33"/>
          </w:tcPr>
          <w:p w14:paraId="29B26477" w14:textId="73D433B2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 xml:space="preserve">Vertiefungsangebot </w:t>
            </w:r>
            <w:r w:rsidR="0052476F" w:rsidRPr="0052476F"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(90 Min.)</w:t>
            </w:r>
          </w:p>
          <w:p w14:paraId="3BC4EAA5" w14:textId="08E03F8A" w:rsidR="00622A75" w:rsidRPr="0047711B" w:rsidRDefault="00FD055D" w:rsidP="0052476F">
            <w:pPr>
              <w:keepNext/>
              <w:widowControl w:val="0"/>
              <w:shd w:val="clear" w:color="auto" w:fill="DEEAF6"/>
              <w:spacing w:line="276" w:lineRule="auto"/>
              <w:ind w:left="0"/>
              <w:jc w:val="center"/>
              <w:rPr>
                <w:b/>
              </w:rPr>
            </w:pPr>
            <w:r w:rsidRPr="0047711B"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>Wann sind Wahlen demokratisch?</w:t>
            </w:r>
          </w:p>
        </w:tc>
      </w:tr>
      <w:tr w:rsidR="00FD055D" w14:paraId="5AD5CC40" w14:textId="77777777" w:rsidTr="00296D8C">
        <w:trPr>
          <w:jc w:val="center"/>
        </w:trPr>
        <w:tc>
          <w:tcPr>
            <w:tcW w:w="2835" w:type="dxa"/>
            <w:gridSpan w:val="2"/>
            <w:shd w:val="clear" w:color="auto" w:fill="D9E2F3" w:themeFill="accent1" w:themeFillTint="33"/>
          </w:tcPr>
          <w:p w14:paraId="6D8B67A6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  <w:t>Kompetenzschwerpunkte</w:t>
            </w:r>
          </w:p>
        </w:tc>
        <w:tc>
          <w:tcPr>
            <w:tcW w:w="7655" w:type="dxa"/>
            <w:gridSpan w:val="3"/>
            <w:shd w:val="clear" w:color="auto" w:fill="D9E2F3" w:themeFill="accent1" w:themeFillTint="33"/>
          </w:tcPr>
          <w:p w14:paraId="181438DA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  <w:t>Standardkonkretisierung</w:t>
            </w:r>
          </w:p>
        </w:tc>
      </w:tr>
      <w:tr w:rsidR="00FD055D" w14:paraId="68AE675B" w14:textId="77777777" w:rsidTr="00296D8C">
        <w:trPr>
          <w:jc w:val="center"/>
        </w:trPr>
        <w:tc>
          <w:tcPr>
            <w:tcW w:w="2835" w:type="dxa"/>
            <w:gridSpan w:val="2"/>
            <w:shd w:val="clear" w:color="auto" w:fill="auto"/>
          </w:tcPr>
          <w:p w14:paraId="570990E9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Methodenkompetenz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2509166F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Die SuS interpretieren eine Karikatur und erstellen ein Dossier zur Einschätzung der Wahrung demokratischer Grundsätze in verschiedenen politischen Systemen.</w:t>
            </w:r>
          </w:p>
        </w:tc>
      </w:tr>
      <w:tr w:rsidR="00FD055D" w14:paraId="1DD1CB87" w14:textId="77777777" w:rsidTr="00296D8C">
        <w:trPr>
          <w:jc w:val="center"/>
        </w:trPr>
        <w:tc>
          <w:tcPr>
            <w:tcW w:w="2835" w:type="dxa"/>
            <w:gridSpan w:val="2"/>
            <w:shd w:val="clear" w:color="auto" w:fill="D9E2F3" w:themeFill="accent1" w:themeFillTint="33"/>
          </w:tcPr>
          <w:p w14:paraId="05BFEF65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Analysekompetenz</w:t>
            </w:r>
          </w:p>
        </w:tc>
        <w:tc>
          <w:tcPr>
            <w:tcW w:w="7655" w:type="dxa"/>
            <w:gridSpan w:val="3"/>
            <w:shd w:val="clear" w:color="auto" w:fill="D9E2F3" w:themeFill="accent1" w:themeFillTint="33"/>
          </w:tcPr>
          <w:p w14:paraId="2F4FA74C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Die SuS analysieren Materialien zu unterschiedlichen politischen Systemen bzw. Wahlsystemen und berücksichtigen dabei die Wahlgrundsätze der OSZE.</w:t>
            </w:r>
          </w:p>
        </w:tc>
      </w:tr>
      <w:tr w:rsidR="00FD055D" w14:paraId="6A98AF93" w14:textId="77777777" w:rsidTr="00296D8C">
        <w:trPr>
          <w:jc w:val="center"/>
        </w:trPr>
        <w:tc>
          <w:tcPr>
            <w:tcW w:w="2835" w:type="dxa"/>
            <w:gridSpan w:val="2"/>
            <w:shd w:val="clear" w:color="auto" w:fill="auto"/>
          </w:tcPr>
          <w:p w14:paraId="1479C75F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 xml:space="preserve">Urteilskompetenz 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1EE24C60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Die SuS diskutieren auf Grundlage der Arbeitsergebnisse inwiefern unterschiedliche Wahlsysteme als demokratisch oder auch undemokratisch bezeichnet werden können.</w:t>
            </w:r>
          </w:p>
        </w:tc>
      </w:tr>
      <w:tr w:rsidR="00FD055D" w14:paraId="09C0FF86" w14:textId="77777777" w:rsidTr="00296D8C">
        <w:trPr>
          <w:jc w:val="center"/>
        </w:trPr>
        <w:tc>
          <w:tcPr>
            <w:tcW w:w="10490" w:type="dxa"/>
            <w:gridSpan w:val="5"/>
            <w:shd w:val="clear" w:color="auto" w:fill="B4C6E7" w:themeFill="accent1" w:themeFillTint="66"/>
          </w:tcPr>
          <w:p w14:paraId="7E949D26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</w:pPr>
          </w:p>
          <w:p w14:paraId="265DB996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  <w:t>Konkretisierung des geplante Lehr-Lern-Prozess</w:t>
            </w:r>
          </w:p>
          <w:p w14:paraId="74A56FDA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D055D" w14:paraId="1A5B27EE" w14:textId="77777777" w:rsidTr="00296D8C">
        <w:trPr>
          <w:jc w:val="center"/>
        </w:trPr>
        <w:tc>
          <w:tcPr>
            <w:tcW w:w="1985" w:type="dxa"/>
            <w:shd w:val="clear" w:color="auto" w:fill="D9E2F3" w:themeFill="accent1" w:themeFillTint="33"/>
          </w:tcPr>
          <w:p w14:paraId="4C177EF0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 xml:space="preserve">Lehr-Lernschritt </w:t>
            </w:r>
          </w:p>
          <w:p w14:paraId="3C6D8D10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(Phasierung)</w:t>
            </w:r>
          </w:p>
        </w:tc>
        <w:tc>
          <w:tcPr>
            <w:tcW w:w="4246" w:type="dxa"/>
            <w:gridSpan w:val="2"/>
            <w:shd w:val="clear" w:color="auto" w:fill="D9E2F3" w:themeFill="accent1" w:themeFillTint="33"/>
          </w:tcPr>
          <w:p w14:paraId="51C96A6A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Steuerung und Aktivitäten der Lehrkraft</w:t>
            </w:r>
          </w:p>
        </w:tc>
        <w:tc>
          <w:tcPr>
            <w:tcW w:w="2949" w:type="dxa"/>
            <w:shd w:val="clear" w:color="auto" w:fill="D9E2F3" w:themeFill="accent1" w:themeFillTint="33"/>
          </w:tcPr>
          <w:p w14:paraId="370448EA" w14:textId="5E53788B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Aktivitäten der Lerne</w:t>
            </w:r>
            <w:r w:rsidR="009204D8"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nden</w:t>
            </w:r>
          </w:p>
          <w:p w14:paraId="3A6DFBC5" w14:textId="77777777" w:rsidR="00FD055D" w:rsidRDefault="00FD055D" w:rsidP="00815536">
            <w:pPr>
              <w:widowControl w:val="0"/>
              <w:spacing w:line="276" w:lineRule="auto"/>
              <w:ind w:left="0"/>
              <w:jc w:val="both"/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</w:pPr>
          </w:p>
        </w:tc>
        <w:tc>
          <w:tcPr>
            <w:tcW w:w="1310" w:type="dxa"/>
            <w:shd w:val="clear" w:color="auto" w:fill="D9E2F3" w:themeFill="accent1" w:themeFillTint="33"/>
          </w:tcPr>
          <w:p w14:paraId="28608857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Sozialform/ Material/ Medien</w:t>
            </w:r>
          </w:p>
        </w:tc>
      </w:tr>
      <w:tr w:rsidR="00FD055D" w14:paraId="4982CE5F" w14:textId="77777777" w:rsidTr="00296D8C">
        <w:trPr>
          <w:jc w:val="center"/>
        </w:trPr>
        <w:tc>
          <w:tcPr>
            <w:tcW w:w="1985" w:type="dxa"/>
            <w:shd w:val="clear" w:color="auto" w:fill="auto"/>
          </w:tcPr>
          <w:p w14:paraId="3617A363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Thema entdecken</w:t>
            </w:r>
          </w:p>
          <w:p w14:paraId="43E3E335" w14:textId="767FB138" w:rsidR="00FD055D" w:rsidRDefault="00FD055D" w:rsidP="00815536">
            <w:pPr>
              <w:widowControl w:val="0"/>
              <w:ind w:left="0"/>
              <w:jc w:val="both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(10 </w:t>
            </w:r>
            <w:r w:rsidR="00622A75">
              <w:rPr>
                <w:rFonts w:eastAsia="Times New Roman" w:cs="Times New Roman"/>
                <w:sz w:val="20"/>
                <w:szCs w:val="20"/>
                <w:lang w:eastAsia="de-DE"/>
              </w:rPr>
              <w:t>‘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4246" w:type="dxa"/>
            <w:gridSpan w:val="2"/>
            <w:shd w:val="clear" w:color="auto" w:fill="auto"/>
          </w:tcPr>
          <w:p w14:paraId="189044B8" w14:textId="77777777" w:rsidR="00FD055D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Die Lehrkraft…</w:t>
            </w:r>
          </w:p>
          <w:p w14:paraId="71A8FFDD" w14:textId="77777777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steuert die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Karikaturanalyse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:</w:t>
            </w:r>
          </w:p>
          <w:p w14:paraId="7B6CA3E3" w14:textId="4B103A45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fordert SuS auf, die Karikatur zu analysieren und zu interpretieren</w:t>
            </w:r>
            <w:r w:rsidR="003F7629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11D83D2B" w14:textId="48985962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formuliert das Stundenthema: „Wann sind Wahlen demokratisch?“</w:t>
            </w:r>
            <w:r w:rsidR="003F7629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2FAF5E48" w14:textId="77777777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fordert die SuS zu einer Abstimmung auf:</w:t>
            </w:r>
          </w:p>
          <w:p w14:paraId="75C0CAD1" w14:textId="7D0AA8CD" w:rsidR="00FD055D" w:rsidRDefault="00FD055D" w:rsidP="00815536">
            <w:pPr>
              <w:widowControl w:val="0"/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„Wann ist eine Wahl aus eurer Sicht demokratisch?“</w:t>
            </w:r>
            <w:r w:rsidR="003F7629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2949" w:type="dxa"/>
            <w:shd w:val="clear" w:color="auto" w:fill="auto"/>
          </w:tcPr>
          <w:p w14:paraId="0031ABE4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Die SuS…</w:t>
            </w:r>
          </w:p>
          <w:p w14:paraId="0C9BF5F7" w14:textId="57E73F63" w:rsidR="00FD055D" w:rsidRDefault="00FD055D" w:rsidP="00815536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entdecken das Thema mithilfe der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Karikaturanalyse</w:t>
            </w:r>
            <w:proofErr w:type="spellEnd"/>
            <w:r w:rsidR="003F7629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5637B7AF" w14:textId="77777777" w:rsidR="00FD055D" w:rsidRDefault="00FD055D" w:rsidP="00815536">
            <w:pPr>
              <w:widowControl w:val="0"/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328E8A36" w14:textId="77777777" w:rsidR="00FD055D" w:rsidRDefault="00FD055D" w:rsidP="00815536">
            <w:pPr>
              <w:widowControl w:val="0"/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2158F56A" w14:textId="77777777" w:rsidR="00FD055D" w:rsidRDefault="00FD055D" w:rsidP="00815536">
            <w:pPr>
              <w:widowControl w:val="0"/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6CCB9508" w14:textId="77777777" w:rsidR="00FD055D" w:rsidRDefault="00FD055D" w:rsidP="00815536">
            <w:pPr>
              <w:widowControl w:val="0"/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59215694" w14:textId="77777777" w:rsidR="00FD055D" w:rsidRDefault="00FD055D" w:rsidP="00815536">
            <w:pPr>
              <w:widowControl w:val="0"/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6F036393" w14:textId="77777777" w:rsidR="00FD055D" w:rsidRDefault="00FD055D" w:rsidP="00815536">
            <w:pPr>
              <w:pStyle w:val="Listenabsatz1"/>
              <w:widowControl w:val="0"/>
              <w:numPr>
                <w:ilvl w:val="0"/>
                <w:numId w:val="2"/>
              </w:numPr>
              <w:spacing w:line="276" w:lineRule="auto"/>
              <w:ind w:left="317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formulieren eigene Vorstellungen von einer demokratischen Wahl</w:t>
            </w:r>
          </w:p>
        </w:tc>
        <w:tc>
          <w:tcPr>
            <w:tcW w:w="1310" w:type="dxa"/>
            <w:shd w:val="clear" w:color="auto" w:fill="auto"/>
          </w:tcPr>
          <w:p w14:paraId="700FE93F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2D7416FD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UG</w:t>
            </w:r>
          </w:p>
          <w:p w14:paraId="59A2C08D" w14:textId="213C8154" w:rsidR="00FD055D" w:rsidRDefault="009204D8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Karikatur (</w:t>
            </w:r>
            <w:r w:rsidR="003C5E2A">
              <w:rPr>
                <w:rFonts w:eastAsia="Times New Roman" w:cs="Times New Roman"/>
                <w:sz w:val="20"/>
                <w:szCs w:val="20"/>
                <w:lang w:eastAsia="de-DE"/>
              </w:rPr>
              <w:t>M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1)</w:t>
            </w:r>
          </w:p>
          <w:p w14:paraId="53C1B67D" w14:textId="77777777" w:rsidR="00FD055D" w:rsidRDefault="00FD055D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</w:tc>
      </w:tr>
      <w:tr w:rsidR="00FD055D" w14:paraId="4AB8C4F3" w14:textId="77777777" w:rsidTr="00296D8C">
        <w:trPr>
          <w:jc w:val="center"/>
        </w:trPr>
        <w:tc>
          <w:tcPr>
            <w:tcW w:w="1985" w:type="dxa"/>
            <w:shd w:val="clear" w:color="auto" w:fill="D9E2F3" w:themeFill="accent1" w:themeFillTint="33"/>
          </w:tcPr>
          <w:p w14:paraId="3A34011B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Lernmaterial bearbeiten</w:t>
            </w: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 xml:space="preserve"> </w:t>
            </w:r>
          </w:p>
          <w:p w14:paraId="781B468A" w14:textId="79D705D5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 xml:space="preserve">(40 </w:t>
            </w:r>
            <w:r w:rsidR="00622A75"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‘</w:t>
            </w: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)</w:t>
            </w:r>
          </w:p>
          <w:p w14:paraId="496E2540" w14:textId="77777777" w:rsidR="00FD055D" w:rsidRDefault="00FD055D" w:rsidP="00815536">
            <w:pPr>
              <w:widowControl w:val="0"/>
              <w:ind w:left="0"/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</w:pPr>
          </w:p>
          <w:p w14:paraId="2197F1AD" w14:textId="77777777" w:rsidR="00FD055D" w:rsidRDefault="00FD055D" w:rsidP="00815536">
            <w:pPr>
              <w:widowControl w:val="0"/>
              <w:ind w:left="0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246" w:type="dxa"/>
            <w:gridSpan w:val="2"/>
            <w:shd w:val="clear" w:color="auto" w:fill="D9E2F3" w:themeFill="accent1" w:themeFillTint="33"/>
          </w:tcPr>
          <w:p w14:paraId="5D1F4320" w14:textId="77777777" w:rsidR="00FD055D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Die Lehrkraft…</w:t>
            </w:r>
          </w:p>
          <w:p w14:paraId="135F1532" w14:textId="5D77A71C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stellt die Aufgabe vor und erläutert die Vorgehensweise</w:t>
            </w:r>
            <w:r w:rsidR="003F7629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41BCC83A" w14:textId="3C048260" w:rsidR="00FD055D" w:rsidRPr="002D47CB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teilt die SuS in Mischgruppen ein und teilt jeweils ein Land zu</w:t>
            </w:r>
            <w:r w:rsidR="003C5E2A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(M3-M10)</w:t>
            </w:r>
            <w:r w:rsidR="003F7629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025A213B" w14:textId="49D6120D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erläutert die Aufgaben</w:t>
            </w:r>
            <w:r w:rsidR="009204D8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für die Gruppenarbeit (siehe</w:t>
            </w:r>
            <w:r w:rsidR="003C5E2A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M</w:t>
            </w:r>
            <w:r w:rsidR="009204D8">
              <w:rPr>
                <w:rFonts w:eastAsia="Times New Roman" w:cs="Times New Roman"/>
                <w:sz w:val="20"/>
                <w:szCs w:val="20"/>
                <w:lang w:eastAsia="de-DE"/>
              </w:rPr>
              <w:t>2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)</w:t>
            </w:r>
            <w:r w:rsidR="003F7629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2949" w:type="dxa"/>
            <w:shd w:val="clear" w:color="auto" w:fill="D9E2F3" w:themeFill="accent1" w:themeFillTint="33"/>
          </w:tcPr>
          <w:p w14:paraId="56B984D6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Die SuS…</w:t>
            </w:r>
          </w:p>
          <w:p w14:paraId="2629EC9F" w14:textId="39C6F093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17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bearbeiten eigenständig die Materialien</w:t>
            </w:r>
            <w:r w:rsidR="003F7629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3167694D" w14:textId="4487EEEB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17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erstellen die Dossiers auf Grundla</w:t>
            </w:r>
            <w:r w:rsidR="009204D8">
              <w:rPr>
                <w:rFonts w:eastAsia="Times New Roman" w:cs="Times New Roman"/>
                <w:sz w:val="20"/>
                <w:szCs w:val="20"/>
                <w:lang w:eastAsia="de-DE"/>
              </w:rPr>
              <w:t>ge der strukturierten Vorlage (</w:t>
            </w:r>
            <w:r w:rsidR="003C5E2A">
              <w:rPr>
                <w:rFonts w:eastAsia="Times New Roman" w:cs="Times New Roman"/>
                <w:sz w:val="20"/>
                <w:szCs w:val="20"/>
                <w:lang w:eastAsia="de-DE"/>
              </w:rPr>
              <w:t>M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12)</w:t>
            </w:r>
            <w:r w:rsidR="003F7629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1310" w:type="dxa"/>
            <w:shd w:val="clear" w:color="auto" w:fill="D9E2F3" w:themeFill="accent1" w:themeFillTint="33"/>
          </w:tcPr>
          <w:p w14:paraId="0DECA422" w14:textId="77777777" w:rsidR="003C5E2A" w:rsidRDefault="003C5E2A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673F8B22" w14:textId="78DB3E29" w:rsidR="00FD055D" w:rsidRDefault="003C5E2A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</w:t>
            </w:r>
            <w:r w:rsidR="00FD055D">
              <w:rPr>
                <w:rFonts w:eastAsia="Times New Roman" w:cs="Times New Roman"/>
                <w:sz w:val="20"/>
                <w:szCs w:val="20"/>
                <w:lang w:eastAsia="de-DE"/>
              </w:rPr>
              <w:t>2</w:t>
            </w:r>
          </w:p>
          <w:p w14:paraId="0DB2C81A" w14:textId="77777777" w:rsidR="003F7629" w:rsidRDefault="003F7629" w:rsidP="00815536">
            <w:pPr>
              <w:widowControl w:val="0"/>
              <w:ind w:left="0"/>
              <w:jc w:val="center"/>
            </w:pPr>
          </w:p>
          <w:p w14:paraId="0BC9813B" w14:textId="77777777" w:rsidR="00FD055D" w:rsidRDefault="00FD055D" w:rsidP="00815536">
            <w:pPr>
              <w:widowControl w:val="0"/>
              <w:ind w:left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GA </w:t>
            </w:r>
          </w:p>
          <w:p w14:paraId="4C6F5ACC" w14:textId="719734E0" w:rsidR="00FD055D" w:rsidRDefault="003C5E2A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M3</w:t>
            </w:r>
            <w:r w:rsidR="00FD055D">
              <w:rPr>
                <w:rFonts w:eastAsia="Times New Roman" w:cs="Times New Roman"/>
                <w:sz w:val="20"/>
                <w:szCs w:val="20"/>
                <w:lang w:eastAsia="de-DE"/>
              </w:rPr>
              <w:t>-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</w:t>
            </w:r>
            <w:r w:rsidR="00FD055D">
              <w:rPr>
                <w:rFonts w:eastAsia="Times New Roman" w:cs="Times New Roman"/>
                <w:sz w:val="20"/>
                <w:szCs w:val="20"/>
                <w:lang w:eastAsia="de-DE"/>
              </w:rPr>
              <w:t>1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0</w:t>
            </w:r>
          </w:p>
          <w:p w14:paraId="50D46DC9" w14:textId="00848DF7" w:rsidR="003C5E2A" w:rsidRDefault="003C5E2A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7846FD51" w14:textId="442690D5" w:rsidR="003C5E2A" w:rsidRDefault="003C5E2A" w:rsidP="00815536">
            <w:pPr>
              <w:widowControl w:val="0"/>
              <w:ind w:left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M11-M12</w:t>
            </w:r>
          </w:p>
          <w:p w14:paraId="66FB1DF2" w14:textId="77777777" w:rsidR="00FD055D" w:rsidRDefault="00FD055D" w:rsidP="00815536">
            <w:pPr>
              <w:widowControl w:val="0"/>
              <w:ind w:left="0"/>
              <w:jc w:val="center"/>
            </w:pPr>
          </w:p>
        </w:tc>
      </w:tr>
      <w:tr w:rsidR="00FD055D" w14:paraId="02F06BA0" w14:textId="77777777" w:rsidTr="00296D8C">
        <w:trPr>
          <w:jc w:val="center"/>
        </w:trPr>
        <w:tc>
          <w:tcPr>
            <w:tcW w:w="1985" w:type="dxa"/>
            <w:shd w:val="clear" w:color="auto" w:fill="auto"/>
          </w:tcPr>
          <w:p w14:paraId="2D6877AB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Lernprodukte präsentieren und diskutieren </w:t>
            </w:r>
          </w:p>
          <w:p w14:paraId="1BC3A959" w14:textId="3B693564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(20 </w:t>
            </w:r>
            <w:r w:rsidR="00622A75">
              <w:rPr>
                <w:rFonts w:eastAsia="Times New Roman" w:cs="Times New Roman"/>
                <w:sz w:val="20"/>
                <w:szCs w:val="20"/>
                <w:lang w:eastAsia="de-DE"/>
              </w:rPr>
              <w:t>‘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4246" w:type="dxa"/>
            <w:gridSpan w:val="2"/>
            <w:shd w:val="clear" w:color="auto" w:fill="auto"/>
          </w:tcPr>
          <w:p w14:paraId="3C448716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Die Lehrkraft…</w:t>
            </w:r>
          </w:p>
          <w:p w14:paraId="2BFF22F9" w14:textId="78427692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proofErr w:type="gramStart"/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leitet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die Präsentation und Diskussion</w:t>
            </w:r>
            <w:r w:rsidR="00235FD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75ED64F9" w14:textId="28CBB9A0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steuert den Vergleich der verschiedenen Lernprodukte</w:t>
            </w:r>
            <w:r w:rsidR="00235FD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2949" w:type="dxa"/>
            <w:shd w:val="clear" w:color="auto" w:fill="auto"/>
          </w:tcPr>
          <w:p w14:paraId="2F479F57" w14:textId="77777777" w:rsidR="00FD055D" w:rsidRDefault="00FD055D" w:rsidP="00815536">
            <w:pPr>
              <w:widowControl w:val="0"/>
              <w:spacing w:line="276" w:lineRule="auto"/>
              <w:ind w:left="0"/>
              <w:jc w:val="both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Die SuS…</w:t>
            </w:r>
          </w:p>
          <w:p w14:paraId="69B8A23F" w14:textId="4E3E49A4" w:rsidR="00FD055D" w:rsidRDefault="00FD055D" w:rsidP="00943792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präsentieren</w:t>
            </w:r>
            <w:r w:rsidR="00943792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nacheinander ihre Dossiers</w:t>
            </w:r>
            <w:r w:rsidR="00235FD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6B353C53" w14:textId="77777777" w:rsidR="00FD055D" w:rsidRDefault="00FD055D" w:rsidP="00815536">
            <w:pPr>
              <w:widowControl w:val="0"/>
              <w:spacing w:line="276" w:lineRule="auto"/>
              <w:ind w:left="317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310" w:type="dxa"/>
            <w:shd w:val="clear" w:color="auto" w:fill="auto"/>
          </w:tcPr>
          <w:p w14:paraId="74583C80" w14:textId="77777777" w:rsidR="00FD055D" w:rsidRDefault="00FD055D" w:rsidP="00815536">
            <w:pPr>
              <w:widowControl w:val="0"/>
              <w:ind w:left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UG</w:t>
            </w:r>
          </w:p>
          <w:p w14:paraId="7816008B" w14:textId="77777777" w:rsidR="00FD055D" w:rsidRDefault="00FD055D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7F1FD30C" w14:textId="77777777" w:rsidR="00FD055D" w:rsidRDefault="00FD055D" w:rsidP="00815536">
            <w:pPr>
              <w:widowControl w:val="0"/>
              <w:ind w:left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Flip-Chart</w:t>
            </w:r>
          </w:p>
        </w:tc>
      </w:tr>
      <w:tr w:rsidR="00FD055D" w14:paraId="7B443FB8" w14:textId="77777777" w:rsidTr="00296D8C">
        <w:trPr>
          <w:jc w:val="center"/>
        </w:trPr>
        <w:tc>
          <w:tcPr>
            <w:tcW w:w="1985" w:type="dxa"/>
            <w:shd w:val="clear" w:color="auto" w:fill="D9E2F3" w:themeFill="accent1" w:themeFillTint="33"/>
          </w:tcPr>
          <w:p w14:paraId="5C5D7AC4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Lernzugewinn definieren und Urteilen</w:t>
            </w:r>
          </w:p>
          <w:p w14:paraId="093BA067" w14:textId="70EC5298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(20 </w:t>
            </w:r>
            <w:r w:rsidR="00622A75">
              <w:rPr>
                <w:rFonts w:eastAsia="Times New Roman" w:cs="Times New Roman"/>
                <w:sz w:val="20"/>
                <w:szCs w:val="20"/>
                <w:lang w:eastAsia="de-DE"/>
              </w:rPr>
              <w:t>‘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4246" w:type="dxa"/>
            <w:gridSpan w:val="2"/>
            <w:shd w:val="clear" w:color="auto" w:fill="D9E2F3" w:themeFill="accent1" w:themeFillTint="33"/>
          </w:tcPr>
          <w:p w14:paraId="4F8548D0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Die Lehrkraft…</w:t>
            </w:r>
          </w:p>
          <w:p w14:paraId="474732A5" w14:textId="469BEF6C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fordert die SuS auf, zur Themenfrage begründet Stellung zu beziehen</w:t>
            </w:r>
            <w:r w:rsidR="00235FD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116ED10A" w14:textId="6DB2FAF8" w:rsidR="00FD055D" w:rsidRPr="002D47CB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 w:rsidRPr="002D47CB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initiiert </w:t>
            </w:r>
            <w:r w:rsidR="00943792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einen </w:t>
            </w:r>
            <w:r w:rsidRPr="002D47CB">
              <w:rPr>
                <w:rFonts w:eastAsia="Times New Roman" w:cs="Times New Roman"/>
                <w:sz w:val="20"/>
                <w:szCs w:val="20"/>
                <w:lang w:eastAsia="de-DE"/>
              </w:rPr>
              <w:t>Vergleich der zu Beginn formulierten Vorstellungen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(Wann sind Wahlen demokratisch?)</w:t>
            </w:r>
            <w:r w:rsidRPr="002D47CB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und den Arbeitsergebnissen.</w:t>
            </w:r>
          </w:p>
          <w:p w14:paraId="63563217" w14:textId="77777777" w:rsidR="00FD055D" w:rsidRDefault="00FD055D" w:rsidP="00815536">
            <w:pPr>
              <w:widowControl w:val="0"/>
              <w:spacing w:line="276" w:lineRule="auto"/>
              <w:ind w:left="374"/>
              <w:contextualSpacing/>
            </w:pPr>
            <w:r w:rsidRPr="002D47CB">
              <w:rPr>
                <w:rFonts w:eastAsia="Times New Roman"/>
                <w:b/>
                <w:bCs/>
                <w:sz w:val="20"/>
                <w:szCs w:val="20"/>
              </w:rPr>
              <w:t xml:space="preserve">optionale Diskussionsfragen: </w:t>
            </w:r>
          </w:p>
          <w:p w14:paraId="7CCC84CD" w14:textId="673CC9B7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„Was sind die Gefahren eines eingeschränkten Wahlrechts/geringer 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lastRenderedPageBreak/>
              <w:t>Wahlbeteiligung?”</w:t>
            </w:r>
            <w:r w:rsidR="00235FD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4D0FB49E" w14:textId="22135643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„In welchen Aspekten unterscheiden sich Wahlen in einer Demokratie gegenüber Wahlen in einer Diktatur/Autokratie?”</w:t>
            </w:r>
            <w:r w:rsidR="00235FD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6E90ECE2" w14:textId="05EC9E4C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„Welche Vor- und Nachteile ergeben sich aus den jeweiligen Wahlsystemen für die bestehende Regierung?“</w:t>
            </w:r>
            <w:r w:rsidR="00235FD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2949" w:type="dxa"/>
            <w:shd w:val="clear" w:color="auto" w:fill="D9E2F3" w:themeFill="accent1" w:themeFillTint="33"/>
          </w:tcPr>
          <w:p w14:paraId="48DC91FD" w14:textId="77777777" w:rsidR="00FD055D" w:rsidRDefault="00FD055D" w:rsidP="00815536">
            <w:pPr>
              <w:widowControl w:val="0"/>
              <w:spacing w:line="276" w:lineRule="auto"/>
              <w:ind w:left="0"/>
              <w:jc w:val="both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lastRenderedPageBreak/>
              <w:t>Die SuS…</w:t>
            </w:r>
          </w:p>
          <w:p w14:paraId="50D9625D" w14:textId="618181CE" w:rsidR="00FD055D" w:rsidRDefault="00FD055D" w:rsidP="00815536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  <w:jc w:val="both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diskutieren die Frage: „Wann sind Wahlen demokratisch?“</w:t>
            </w:r>
            <w:r w:rsidR="00235FD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3E9F6041" w14:textId="405D9E84" w:rsidR="00FD055D" w:rsidRDefault="00FD055D" w:rsidP="00235FDA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vergleichen ihre zum Anfang formulierten</w:t>
            </w:r>
            <w:r w:rsidR="00943792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Vorstellungen mit den Arbeitsergebnissen</w:t>
            </w:r>
            <w:r w:rsidR="00235FD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033C689F" w14:textId="585799CE" w:rsidR="00FD055D" w:rsidRDefault="00FD055D" w:rsidP="00815536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  <w:jc w:val="both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äußern eig</w:t>
            </w:r>
            <w:r w:rsidR="00943792">
              <w:rPr>
                <w:rFonts w:eastAsia="Times New Roman" w:cs="Times New Roman"/>
                <w:sz w:val="20"/>
                <w:szCs w:val="20"/>
                <w:lang w:eastAsia="de-DE"/>
              </w:rPr>
              <w:t>e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ne Vorstellungen zu den Diskussionsfragen</w:t>
            </w:r>
            <w:r w:rsidR="00235FD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3F86486B" w14:textId="77777777" w:rsidR="00FD055D" w:rsidRDefault="00FD055D" w:rsidP="00815536">
            <w:pPr>
              <w:widowControl w:val="0"/>
              <w:spacing w:line="276" w:lineRule="auto"/>
              <w:ind w:left="317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310" w:type="dxa"/>
            <w:shd w:val="clear" w:color="auto" w:fill="D9E2F3" w:themeFill="accent1" w:themeFillTint="33"/>
          </w:tcPr>
          <w:p w14:paraId="1D95149B" w14:textId="77777777" w:rsidR="00FD055D" w:rsidRDefault="00FD055D" w:rsidP="00815536">
            <w:pPr>
              <w:widowControl w:val="0"/>
              <w:ind w:left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UG</w:t>
            </w:r>
          </w:p>
        </w:tc>
      </w:tr>
    </w:tbl>
    <w:p w14:paraId="044D65A4" w14:textId="77777777" w:rsidR="00327FD2" w:rsidRDefault="00327FD2"/>
    <w:sectPr w:rsidR="00327FD2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5ACB5F" w14:textId="77777777" w:rsidR="006632A1" w:rsidRDefault="006632A1" w:rsidP="00FD055D">
      <w:r>
        <w:separator/>
      </w:r>
    </w:p>
  </w:endnote>
  <w:endnote w:type="continuationSeparator" w:id="0">
    <w:p w14:paraId="40D612FE" w14:textId="77777777" w:rsidR="006632A1" w:rsidRDefault="006632A1" w:rsidP="00FD0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682">
    <w:altName w:val="Calibri"/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A4A537" w14:textId="77777777" w:rsidR="006632A1" w:rsidRDefault="006632A1" w:rsidP="00FD055D">
      <w:r>
        <w:separator/>
      </w:r>
    </w:p>
  </w:footnote>
  <w:footnote w:type="continuationSeparator" w:id="0">
    <w:p w14:paraId="791366E4" w14:textId="77777777" w:rsidR="006632A1" w:rsidRDefault="006632A1" w:rsidP="00FD0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42C6B" w14:textId="2A8C65DA" w:rsidR="00FD055D" w:rsidRPr="00296D8C" w:rsidRDefault="00FD055D" w:rsidP="003C5E2A">
    <w:pPr>
      <w:pStyle w:val="Kopfzeile"/>
      <w:ind w:hanging="680"/>
      <w:rPr>
        <w:rFonts w:ascii="Arial Unicode MS" w:eastAsia="Arial Unicode MS" w:hAnsi="Arial Unicode MS" w:cs="Arial Unicode MS"/>
        <w:sz w:val="24"/>
        <w:szCs w:val="24"/>
      </w:rPr>
    </w:pPr>
    <w:r w:rsidRPr="00296D8C">
      <w:rPr>
        <w:rFonts w:ascii="Arial Unicode MS" w:eastAsia="Arial Unicode MS" w:hAnsi="Arial Unicode MS" w:cs="Arial Unicode MS"/>
        <w:b/>
        <w:noProof/>
        <w:sz w:val="24"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14F91CA5" wp14:editId="33CCB298">
          <wp:simplePos x="0" y="0"/>
          <wp:positionH relativeFrom="column">
            <wp:posOffset>5017135</wp:posOffset>
          </wp:positionH>
          <wp:positionV relativeFrom="paragraph">
            <wp:posOffset>-197485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6D8C" w:rsidRPr="00296D8C">
      <w:rPr>
        <w:rFonts w:ascii="Arial Unicode MS" w:eastAsia="Arial Unicode MS" w:hAnsi="Arial Unicode MS" w:cs="Arial Unicode MS"/>
        <w:b/>
        <w:sz w:val="24"/>
        <w:szCs w:val="24"/>
      </w:rPr>
      <w:t>Vorschlag zur Verlaufsplanung -</w:t>
    </w:r>
    <w:r w:rsidR="00296D8C" w:rsidRPr="00296D8C">
      <w:rPr>
        <w:rFonts w:ascii="Arial Unicode MS" w:eastAsia="Arial Unicode MS" w:hAnsi="Arial Unicode MS" w:cs="Arial Unicode MS"/>
        <w:sz w:val="24"/>
        <w:szCs w:val="24"/>
      </w:rPr>
      <w:t xml:space="preserve"> </w:t>
    </w:r>
    <w:r w:rsidR="00296D8C" w:rsidRPr="00296D8C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Modul 1 - Vertiefung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6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8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55D"/>
    <w:rsid w:val="00012A5A"/>
    <w:rsid w:val="00235FDA"/>
    <w:rsid w:val="00240DF5"/>
    <w:rsid w:val="00296D8C"/>
    <w:rsid w:val="00327FD2"/>
    <w:rsid w:val="003C5E2A"/>
    <w:rsid w:val="003F19AF"/>
    <w:rsid w:val="003F7629"/>
    <w:rsid w:val="0047711B"/>
    <w:rsid w:val="0052476F"/>
    <w:rsid w:val="00560568"/>
    <w:rsid w:val="00622A75"/>
    <w:rsid w:val="006632A1"/>
    <w:rsid w:val="00871626"/>
    <w:rsid w:val="008F6CEF"/>
    <w:rsid w:val="009204D8"/>
    <w:rsid w:val="00943792"/>
    <w:rsid w:val="00C31523"/>
    <w:rsid w:val="00FB2C25"/>
    <w:rsid w:val="00FD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A124809"/>
  <w15:docId w15:val="{C792DF96-54E5-3E4E-B2E4-798663A64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D055D"/>
    <w:pPr>
      <w:suppressAutoHyphens/>
      <w:ind w:left="113"/>
    </w:pPr>
    <w:rPr>
      <w:rFonts w:ascii="Calibri" w:eastAsia="Calibri" w:hAnsi="Calibri" w:cs="font682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stenabsatz1">
    <w:name w:val="Listenabsatz1"/>
    <w:basedOn w:val="Standard"/>
    <w:rsid w:val="00FD055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D05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055D"/>
    <w:rPr>
      <w:rFonts w:ascii="Calibri" w:eastAsia="Calibri" w:hAnsi="Calibri" w:cs="font682"/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FD05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055D"/>
    <w:rPr>
      <w:rFonts w:ascii="Calibri" w:eastAsia="Calibri" w:hAnsi="Calibri" w:cs="font68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kumulus-05</cp:lastModifiedBy>
  <cp:revision>2</cp:revision>
  <dcterms:created xsi:type="dcterms:W3CDTF">2022-11-11T10:55:00Z</dcterms:created>
  <dcterms:modified xsi:type="dcterms:W3CDTF">2022-11-11T10:55:00Z</dcterms:modified>
</cp:coreProperties>
</file>