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544"/>
      </w:tblGrid>
      <w:tr w:rsidR="006A3B13" w:rsidTr="005765D3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5765D3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919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7B5A8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180B4E" w:rsidP="007B5A80">
            <w:r>
              <w:rPr>
                <w:rFonts w:ascii="Calibri" w:hAnsi="Calibri" w:cs="Calibri"/>
              </w:rPr>
              <w:t>Warum haben die Wähler*innen so gewählt, wie sie gewählt haben</w:t>
            </w:r>
            <w:r w:rsidR="005765D3" w:rsidRPr="005765D3">
              <w:rPr>
                <w:rFonts w:ascii="Calibri" w:hAnsi="Calibri" w:cs="Calibri"/>
              </w:rPr>
              <w:t>?</w:t>
            </w:r>
          </w:p>
        </w:tc>
      </w:tr>
      <w:tr w:rsidR="006A3B13" w:rsidTr="005765D3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765D3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DE3DEE" w:rsidP="00BB547C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werten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die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Wahlergebnisse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zur Juniorwahl/zur Landtagswahl aus</w:t>
            </w:r>
            <w:r w:rsidR="005765D3"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kennen theoretische Erklärungsansätze und Entwicklungstendenzen des Wahlverhaltens (je nach Leistungsniveau der Lerngruppe).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artikulieren ihre eigene Position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>, reflektieren die Perspektiven Anderer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entwickeln ihre Fähigkeiten zur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Perspektivübernahme</w:t>
            </w:r>
            <w:proofErr w:type="spellEnd"/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weiter.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363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beschreiben und vergleichen die Wahlergebnisse der Juniorwahl und der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Landtagswahl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aus den Jahren 201</w:t>
            </w:r>
            <w:r w:rsidR="007A32F4">
              <w:rPr>
                <w:rFonts w:ascii="Calibri" w:hAnsi="Calibri" w:cs="Calibri"/>
                <w:bCs/>
                <w:sz w:val="18"/>
                <w:szCs w:val="18"/>
              </w:rPr>
              <w:t>7</w:t>
            </w:r>
            <w:r w:rsidR="00180B4E">
              <w:rPr>
                <w:rFonts w:ascii="Calibri" w:hAnsi="Calibri" w:cs="Calibri"/>
                <w:bCs/>
                <w:sz w:val="18"/>
                <w:szCs w:val="18"/>
              </w:rPr>
              <w:t xml:space="preserve"> und 202</w:t>
            </w:r>
            <w:r w:rsidR="007A32F4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. Sie beurteilen die Wahlergebnisse aus der eigenen Interessenlage heraus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sowie aus der Sicht der Wähler*innen und Kandidat*innen/Parteien.</w:t>
            </w:r>
          </w:p>
        </w:tc>
      </w:tr>
      <w:tr w:rsidR="006A3B13" w:rsidTr="005C315A">
        <w:trPr>
          <w:trHeight w:val="346"/>
        </w:trPr>
        <w:tc>
          <w:tcPr>
            <w:tcW w:w="10349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6A3B13" w:rsidRPr="005C315A" w:rsidRDefault="006A3B13" w:rsidP="005C315A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5C315A">
        <w:trPr>
          <w:trHeight w:val="42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Lehr-Lernschritt </w:t>
            </w:r>
          </w:p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i/>
                <w:sz w:val="18"/>
                <w:szCs w:val="18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Aktivitäten der Lerner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Sozialform/ Material/ Medien</w:t>
            </w:r>
          </w:p>
        </w:tc>
      </w:tr>
      <w:tr w:rsidR="006A3B13" w:rsidTr="005765D3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180B4E" w:rsidRPr="00180B4E" w:rsidRDefault="00180B4E" w:rsidP="00180B4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beschreibt die Ausgangssituation.</w:t>
            </w:r>
          </w:p>
          <w:p w:rsidR="00520BFA" w:rsidRPr="005765D3" w:rsidRDefault="00180B4E" w:rsidP="00180B4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zeigt die Folie M2 und sammelt erste Ideen zu Fragen und Sach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informationen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zur Gestaltung einer Podiumsdiskussion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180B4E" w:rsidRPr="00180B4E" w:rsidRDefault="00180B4E" w:rsidP="00180B4E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den Ausgang der Juniorwahl/Landtagswahl mithilfe der vorbereitenden Hausaufgabe M1.</w:t>
            </w:r>
          </w:p>
          <w:p w:rsidR="006A3B13" w:rsidRPr="005765D3" w:rsidRDefault="00180B4E" w:rsidP="00180B4E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äußern erste Ideen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den Inhalt der Talkshow und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mögliche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Diskussionsfragen.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</w:t>
            </w:r>
            <w:r w:rsidR="00180B4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6A3B13" w:rsidRPr="00771A31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 w:rsidR="00771A3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180B4E" w:rsidRP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gibt Instruktionen zur Talkshow.</w:t>
            </w:r>
          </w:p>
          <w:p w:rsid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teilt die </w:t>
            </w:r>
            <w:r>
              <w:rPr>
                <w:rFonts w:ascii="Calibri" w:hAnsi="Calibri" w:cs="Calibri"/>
                <w:sz w:val="20"/>
                <w:szCs w:val="20"/>
              </w:rPr>
              <w:t>Hinweise zum Rollenspiel (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M3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Aufgabenstellung (M4) und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die Methodenkarte M</w:t>
            </w:r>
            <w:r>
              <w:rPr>
                <w:rFonts w:ascii="Calibri" w:hAnsi="Calibri" w:cs="Calibri"/>
                <w:sz w:val="20"/>
                <w:szCs w:val="20"/>
              </w:rPr>
              <w:t>5 aus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erklärt die Aufgabenstellung.</w:t>
            </w:r>
          </w:p>
          <w:p w:rsidR="00180B4E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teilt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r>
              <w:rPr>
                <w:rFonts w:ascii="Calibri" w:hAnsi="Calibri" w:cs="Calibri"/>
                <w:sz w:val="20"/>
                <w:szCs w:val="20"/>
              </w:rPr>
              <w:t>Wahlanalysen/Statistiken</w:t>
            </w:r>
            <w:r w:rsidR="00771A31">
              <w:rPr>
                <w:rFonts w:ascii="Calibri" w:hAnsi="Calibri" w:cs="Calibri"/>
                <w:sz w:val="20"/>
                <w:szCs w:val="20"/>
              </w:rPr>
              <w:t xml:space="preserve"> (M6) aus, sowie je nach Leistungs-niveau der Lerngruppe zusätzlich noch die Sachtexte (M7).</w:t>
            </w:r>
          </w:p>
          <w:p w:rsidR="00520BFA" w:rsidRPr="00520BFA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bildet Gruppen und erläutert die Rollen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5765D3" w:rsidRDefault="00180B4E" w:rsidP="00180B4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 xml:space="preserve">finden sich in Gruppen zusammen, einigen sich </w:t>
            </w:r>
            <w:proofErr w:type="spellStart"/>
            <w:r w:rsidRPr="00180B4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180B4E">
              <w:rPr>
                <w:rFonts w:ascii="Calibri" w:hAnsi="Calibri" w:cs="Calibri"/>
                <w:sz w:val="20"/>
                <w:szCs w:val="20"/>
              </w:rPr>
              <w:t xml:space="preserve"> die Rollen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zuteilung innerhalb der Gruppe, schreiben ihre Rollenkarten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 xml:space="preserve">und bereiten die Talkshow </w:t>
            </w:r>
            <w:r w:rsidR="00771A31">
              <w:rPr>
                <w:rFonts w:ascii="Calibri" w:hAnsi="Calibri" w:cs="Calibri"/>
                <w:sz w:val="20"/>
                <w:szCs w:val="20"/>
              </w:rPr>
              <w:t xml:space="preserve">mithilfe von M6 und ggf. zusätzlich M7 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vor.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C315A" w:rsidRDefault="005C315A" w:rsidP="005C315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80B4E" w:rsidRPr="005765D3" w:rsidRDefault="00180B4E" w:rsidP="00180B4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Default="00180B4E" w:rsidP="00180B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  <w:p w:rsidR="00180B4E" w:rsidRPr="00180B4E" w:rsidRDefault="00180B4E" w:rsidP="00180B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5765D3" w:rsidRPr="00180B4E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80B4E">
              <w:rPr>
                <w:rFonts w:ascii="Calibri" w:hAnsi="Calibri" w:cs="Calibri"/>
                <w:sz w:val="20"/>
                <w:szCs w:val="20"/>
              </w:rPr>
              <w:t>M</w:t>
            </w:r>
            <w:r w:rsidR="00180B4E" w:rsidRPr="00180B4E">
              <w:rPr>
                <w:rFonts w:ascii="Calibri" w:hAnsi="Calibri" w:cs="Calibri"/>
                <w:sz w:val="20"/>
                <w:szCs w:val="20"/>
              </w:rPr>
              <w:t>3</w:t>
            </w:r>
            <w:r w:rsidR="00180B4E">
              <w:rPr>
                <w:rFonts w:ascii="Calibri" w:hAnsi="Calibri" w:cs="Calibri"/>
                <w:sz w:val="20"/>
                <w:szCs w:val="20"/>
              </w:rPr>
              <w:t>-</w:t>
            </w:r>
            <w:r w:rsidRPr="00180B4E">
              <w:rPr>
                <w:rFonts w:ascii="Calibri" w:hAnsi="Calibri" w:cs="Calibri"/>
                <w:sz w:val="20"/>
                <w:szCs w:val="20"/>
              </w:rPr>
              <w:t>M</w:t>
            </w:r>
            <w:r w:rsidR="00771A31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6A3B13" w:rsidRPr="00012CC5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2CC5">
              <w:rPr>
                <w:rFonts w:ascii="Calibri" w:hAnsi="Calibri" w:cs="Calibri"/>
                <w:sz w:val="20"/>
                <w:szCs w:val="20"/>
              </w:rPr>
              <w:t>M6</w:t>
            </w:r>
          </w:p>
          <w:p w:rsidR="00771A31" w:rsidRPr="00012CC5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12CC5">
              <w:rPr>
                <w:rFonts w:ascii="Calibri" w:hAnsi="Calibri" w:cs="Calibri"/>
                <w:sz w:val="20"/>
                <w:szCs w:val="20"/>
              </w:rPr>
              <w:t>Ggf. M7</w:t>
            </w:r>
          </w:p>
          <w:p w:rsidR="00771A31" w:rsidRPr="00771A31" w:rsidRDefault="00771A31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(je nach Leistungsniveau der Lerngr</w:t>
            </w:r>
            <w:r>
              <w:rPr>
                <w:rFonts w:ascii="Calibri" w:hAnsi="Calibri" w:cs="Calibri"/>
                <w:sz w:val="20"/>
                <w:szCs w:val="20"/>
              </w:rPr>
              <w:t>uppe)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765D3">
              <w:rPr>
                <w:rFonts w:ascii="Calibri" w:hAnsi="Calibri" w:cs="Calibri"/>
                <w:sz w:val="20"/>
                <w:szCs w:val="20"/>
              </w:rPr>
              <w:t>3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fordert ausgewählte Gruppen auf, die Talkshow zu spielen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771A31" w:rsidRP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erteilt den anderen SuS Beobachtungsaufgaben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(M8).</w:t>
            </w:r>
          </w:p>
          <w:p w:rsidR="00771A31" w:rsidRPr="00771A31" w:rsidRDefault="00771A31" w:rsidP="00771A3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moderiert die Auswertung des</w:t>
            </w:r>
          </w:p>
          <w:p w:rsidR="00520BFA" w:rsidRPr="005765D3" w:rsidRDefault="00771A31" w:rsidP="00771A31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Rollenspiels.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5765D3" w:rsidRPr="005765D3" w:rsidRDefault="00771A31" w:rsidP="00771A31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spielen ihre Talkshow vor oder beobachten die Talkshow und geben mithilfe des Feedbackbogens M6 ein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begründetes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Feedback.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5765D3" w:rsidRDefault="00771A31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771A31" w:rsidRPr="005765D3" w:rsidRDefault="00771A31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Podiums-diskussion</w:t>
            </w:r>
          </w:p>
          <w:p w:rsidR="00D32B27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M6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</w:t>
            </w:r>
            <w:r w:rsidR="005765D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20BFA" w:rsidRPr="00520BFA" w:rsidRDefault="00771A31" w:rsidP="00771A31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moderiert die Diskussion der SuS zur persönlichen Urteilsbildung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das Wahlergebnis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(Juniorwahl/Landtagswahl) </w:t>
            </w:r>
            <w:r w:rsidRPr="00771A31">
              <w:rPr>
                <w:rFonts w:ascii="Calibri" w:hAnsi="Calibri" w:cs="Calibri"/>
                <w:sz w:val="20"/>
                <w:szCs w:val="20"/>
              </w:rPr>
              <w:t xml:space="preserve">sowie </w:t>
            </w:r>
            <w:proofErr w:type="spellStart"/>
            <w:r w:rsidRPr="00771A31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die Bildungseffekte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71A31">
              <w:rPr>
                <w:rFonts w:ascii="Calibri" w:hAnsi="Calibri" w:cs="Calibri"/>
                <w:sz w:val="20"/>
                <w:szCs w:val="20"/>
              </w:rPr>
              <w:t xml:space="preserve">des Juniorwahl-Projektes.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771A31" w:rsidRPr="00771A31" w:rsidRDefault="00771A31" w:rsidP="00771A3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>beurteilen das Wahlergebnis zur Landtagswahl unter dem Aspekt der Repräsentanz, Legitimität, der Regierungsbildung sowie</w:t>
            </w:r>
            <w:bookmarkStart w:id="0" w:name="_GoBack"/>
            <w:bookmarkEnd w:id="0"/>
            <w:r w:rsidRPr="00771A31">
              <w:rPr>
                <w:rFonts w:ascii="Calibri" w:hAnsi="Calibri" w:cs="Calibri"/>
                <w:sz w:val="20"/>
                <w:szCs w:val="20"/>
              </w:rPr>
              <w:t xml:space="preserve"> in Bezug auf Stabilität und Wandel der Gesellschaft in </w:t>
            </w:r>
            <w:r w:rsidR="00012CC5">
              <w:rPr>
                <w:rFonts w:ascii="Calibri" w:hAnsi="Calibri" w:cs="Calibri"/>
                <w:sz w:val="20"/>
                <w:szCs w:val="20"/>
              </w:rPr>
              <w:t>Hessen</w:t>
            </w:r>
            <w:r w:rsidRPr="00771A31">
              <w:rPr>
                <w:rFonts w:ascii="Calibri" w:hAnsi="Calibri" w:cs="Calibri"/>
                <w:sz w:val="20"/>
                <w:szCs w:val="20"/>
              </w:rPr>
              <w:t xml:space="preserve"> aus verschiedenen Perspektiven.</w:t>
            </w:r>
          </w:p>
          <w:p w:rsidR="00D32B27" w:rsidRDefault="00771A31" w:rsidP="00771A3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71A31">
              <w:rPr>
                <w:rFonts w:ascii="Calibri" w:hAnsi="Calibri" w:cs="Calibri"/>
                <w:sz w:val="20"/>
                <w:szCs w:val="20"/>
              </w:rPr>
              <w:t xml:space="preserve">beurteilen ihren Lerneffekt des Juniorwahl-Projektes. 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5C315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483" w:rsidRDefault="00073483" w:rsidP="006A3B13">
      <w:r>
        <w:separator/>
      </w:r>
    </w:p>
  </w:endnote>
  <w:endnote w:type="continuationSeparator" w:id="0">
    <w:p w:rsidR="00073483" w:rsidRDefault="00073483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483" w:rsidRDefault="00073483" w:rsidP="006A3B13">
      <w:r>
        <w:separator/>
      </w:r>
    </w:p>
  </w:footnote>
  <w:footnote w:type="continuationSeparator" w:id="0">
    <w:p w:rsidR="00073483" w:rsidRDefault="00073483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7B5A80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180B4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 w:rsidR="005765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7B5A80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180B4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 w:rsidR="005765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21529"/>
    <w:multiLevelType w:val="hybridMultilevel"/>
    <w:tmpl w:val="1D883ABE"/>
    <w:lvl w:ilvl="0" w:tplc="FDF2EAB8">
      <w:start w:val="90"/>
      <w:numFmt w:val="bullet"/>
      <w:lvlText w:val="-"/>
      <w:lvlJc w:val="left"/>
      <w:pPr>
        <w:ind w:left="643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12CC5"/>
    <w:rsid w:val="000725EC"/>
    <w:rsid w:val="00073483"/>
    <w:rsid w:val="00180B4E"/>
    <w:rsid w:val="001B6788"/>
    <w:rsid w:val="00240DF5"/>
    <w:rsid w:val="00281039"/>
    <w:rsid w:val="00363D2A"/>
    <w:rsid w:val="003A7E7A"/>
    <w:rsid w:val="003E6905"/>
    <w:rsid w:val="0045226C"/>
    <w:rsid w:val="00520BFA"/>
    <w:rsid w:val="005765D3"/>
    <w:rsid w:val="005C315A"/>
    <w:rsid w:val="006A3B13"/>
    <w:rsid w:val="007371D8"/>
    <w:rsid w:val="007648E9"/>
    <w:rsid w:val="00771A31"/>
    <w:rsid w:val="007A32F4"/>
    <w:rsid w:val="007B5A80"/>
    <w:rsid w:val="007E5F50"/>
    <w:rsid w:val="008C7858"/>
    <w:rsid w:val="00924149"/>
    <w:rsid w:val="00A72DA2"/>
    <w:rsid w:val="00B01619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0E3FD7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6</cp:revision>
  <dcterms:created xsi:type="dcterms:W3CDTF">2020-12-18T11:17:00Z</dcterms:created>
  <dcterms:modified xsi:type="dcterms:W3CDTF">2022-12-02T08:58:00Z</dcterms:modified>
</cp:coreProperties>
</file>