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86954B7" w14:textId="77777777" w:rsidR="00AE5F40" w:rsidRDefault="00AE5F40"/>
    <w:tbl>
      <w:tblPr>
        <w:tblW w:w="0" w:type="auto"/>
        <w:tblInd w:w="6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62"/>
      </w:tblGrid>
      <w:tr w:rsidR="00AE5F40" w14:paraId="5FDF0F84" w14:textId="77777777" w:rsidTr="00AE5F40">
        <w:trPr>
          <w:trHeight w:val="956"/>
        </w:trPr>
        <w:tc>
          <w:tcPr>
            <w:tcW w:w="2430" w:type="dxa"/>
            <w:gridSpan w:val="2"/>
            <w:shd w:val="clear" w:color="auto" w:fill="4F81BD"/>
          </w:tcPr>
          <w:p w14:paraId="53F1D149" w14:textId="77777777" w:rsidR="00AE5F40" w:rsidRPr="004F7B57" w:rsidRDefault="00AE5F40">
            <w:pPr>
              <w:jc w:val="center"/>
              <w:rPr>
                <w:rFonts w:ascii="Calibri" w:hAnsi="Calibri" w:cs="Calibri"/>
                <w:b/>
              </w:rPr>
            </w:pPr>
            <w:r w:rsidRPr="004F7B57">
              <w:rPr>
                <w:rFonts w:ascii="Calibri" w:hAnsi="Calibri" w:cs="Calibri"/>
                <w:b/>
              </w:rPr>
              <w:t>Themenfrage</w:t>
            </w:r>
          </w:p>
          <w:p w14:paraId="2BE3EDE9" w14:textId="550B3A6C" w:rsidR="0008747E" w:rsidRPr="004F7B57" w:rsidRDefault="0008747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7B57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37" w:type="dxa"/>
            <w:gridSpan w:val="3"/>
            <w:shd w:val="clear" w:color="auto" w:fill="4F81BD"/>
          </w:tcPr>
          <w:p w14:paraId="622AE008" w14:textId="79CE9F20" w:rsidR="00AE5F40" w:rsidRDefault="00E25F9F">
            <w:r>
              <w:rPr>
                <w:rFonts w:ascii="Calibri" w:hAnsi="Calibri" w:cs="Calibri"/>
                <w:b/>
                <w:bCs/>
              </w:rPr>
              <w:t>Wahlen in der Demokratie</w:t>
            </w:r>
          </w:p>
          <w:p w14:paraId="21E16B53" w14:textId="1C9B2A70" w:rsidR="00AE5F40" w:rsidRDefault="00E25F9F">
            <w:r>
              <w:rPr>
                <w:rFonts w:ascii="Calibri" w:hAnsi="Calibri" w:cs="Calibri"/>
              </w:rPr>
              <w:t>Warum ist Wählen wichtig?</w:t>
            </w:r>
            <w:r w:rsidR="00AE5F40">
              <w:rPr>
                <w:rFonts w:ascii="Calibri" w:hAnsi="Calibri" w:cs="Calibri"/>
              </w:rPr>
              <w:t xml:space="preserve"> </w:t>
            </w:r>
          </w:p>
        </w:tc>
      </w:tr>
      <w:tr w:rsidR="00AE5F40" w14:paraId="5D8EF39E" w14:textId="77777777" w:rsidTr="00AE5F40">
        <w:trPr>
          <w:trHeight w:val="359"/>
        </w:trPr>
        <w:tc>
          <w:tcPr>
            <w:tcW w:w="1935" w:type="dxa"/>
            <w:shd w:val="clear" w:color="auto" w:fill="DBE5F1"/>
          </w:tcPr>
          <w:p w14:paraId="0B6315EB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32" w:type="dxa"/>
            <w:gridSpan w:val="4"/>
            <w:shd w:val="clear" w:color="auto" w:fill="DBE5F1"/>
          </w:tcPr>
          <w:p w14:paraId="734C9F7A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AE5F40" w14:paraId="1653348A" w14:textId="77777777" w:rsidTr="00AE5F40">
        <w:trPr>
          <w:trHeight w:val="511"/>
        </w:trPr>
        <w:tc>
          <w:tcPr>
            <w:tcW w:w="1935" w:type="dxa"/>
            <w:shd w:val="clear" w:color="auto" w:fill="auto"/>
          </w:tcPr>
          <w:p w14:paraId="5024EE9B" w14:textId="77777777" w:rsidR="00AE5F40" w:rsidRDefault="00AE5F40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32" w:type="dxa"/>
            <w:gridSpan w:val="4"/>
            <w:shd w:val="clear" w:color="auto" w:fill="auto"/>
          </w:tcPr>
          <w:p w14:paraId="33E293F7" w14:textId="77777777" w:rsidR="00AE5F40" w:rsidRDefault="00AE5F4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ordnen Argumente FÜR die Beteiligung an Wahlen in Einzel- und Partnerarbeit auf einem Arbeitsblatt. </w:t>
            </w:r>
          </w:p>
        </w:tc>
      </w:tr>
      <w:tr w:rsidR="00AE5F40" w14:paraId="6DEA970F" w14:textId="77777777" w:rsidTr="00AE5F40">
        <w:trPr>
          <w:trHeight w:val="520"/>
        </w:trPr>
        <w:tc>
          <w:tcPr>
            <w:tcW w:w="1935" w:type="dxa"/>
            <w:shd w:val="clear" w:color="auto" w:fill="DBE5F1"/>
          </w:tcPr>
          <w:p w14:paraId="11134264" w14:textId="77777777" w:rsidR="00AE5F40" w:rsidRDefault="00AE5F40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32" w:type="dxa"/>
            <w:gridSpan w:val="4"/>
            <w:shd w:val="clear" w:color="auto" w:fill="DBE5F1"/>
          </w:tcPr>
          <w:p w14:paraId="2AE6A8E8" w14:textId="77777777" w:rsidR="00AE5F40" w:rsidRDefault="00AE5F40">
            <w:r>
              <w:rPr>
                <w:rFonts w:ascii="Calibri" w:hAnsi="Calibri" w:cs="Calibri"/>
                <w:bCs/>
                <w:sz w:val="20"/>
                <w:szCs w:val="20"/>
              </w:rPr>
              <w:t>Die SuS entwerfen in Partner- oder Gruppenarbeit Postkarten mit Slogans und Kurztexten, die FÜR die Beteiligung an Wahlen werben soll</w:t>
            </w:r>
            <w:r w:rsidR="006A50D5">
              <w:rPr>
                <w:rFonts w:ascii="Calibri" w:hAnsi="Calibri" w:cs="Calibri"/>
                <w:bCs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AE5F40" w14:paraId="3B19B7BB" w14:textId="77777777" w:rsidTr="00AE5F40">
        <w:trPr>
          <w:trHeight w:val="520"/>
        </w:trPr>
        <w:tc>
          <w:tcPr>
            <w:tcW w:w="1935" w:type="dxa"/>
            <w:shd w:val="clear" w:color="auto" w:fill="auto"/>
          </w:tcPr>
          <w:p w14:paraId="568DBA44" w14:textId="77777777" w:rsidR="00AE5F40" w:rsidRDefault="00AE5F40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32" w:type="dxa"/>
            <w:gridSpan w:val="4"/>
            <w:shd w:val="clear" w:color="auto" w:fill="auto"/>
          </w:tcPr>
          <w:p w14:paraId="162F9953" w14:textId="77777777" w:rsidR="00AE5F40" w:rsidRDefault="00AE5F4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Argumente für die Teilnahme an Wahlen an und können diese als Antwort auf Kritik an Wahlen einbringen. </w:t>
            </w:r>
          </w:p>
        </w:tc>
      </w:tr>
      <w:tr w:rsidR="00AE5F40" w14:paraId="66B2B8B6" w14:textId="77777777" w:rsidTr="00AE5F40">
        <w:trPr>
          <w:trHeight w:val="686"/>
        </w:trPr>
        <w:tc>
          <w:tcPr>
            <w:tcW w:w="10267" w:type="dxa"/>
            <w:gridSpan w:val="5"/>
            <w:shd w:val="clear" w:color="auto" w:fill="4F81BD"/>
          </w:tcPr>
          <w:p w14:paraId="64AA4BB6" w14:textId="77777777" w:rsidR="00AE5F40" w:rsidRDefault="00AE5F4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4276998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70ADC50" w14:textId="77777777" w:rsidR="00AE5F40" w:rsidRDefault="00AE5F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E5F40" w14:paraId="67ECFC00" w14:textId="77777777" w:rsidTr="00AE5F40">
        <w:trPr>
          <w:trHeight w:val="721"/>
        </w:trPr>
        <w:tc>
          <w:tcPr>
            <w:tcW w:w="1935" w:type="dxa"/>
            <w:shd w:val="clear" w:color="auto" w:fill="DBE5F1"/>
          </w:tcPr>
          <w:p w14:paraId="7164FB2D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A04DE1D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37C9E69D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57A0D3F9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0C689D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62" w:type="dxa"/>
            <w:shd w:val="clear" w:color="auto" w:fill="DBE5F1"/>
          </w:tcPr>
          <w:p w14:paraId="4FF0E779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AE5F40" w14:paraId="556DD8E4" w14:textId="77777777" w:rsidTr="00AE5F40">
        <w:trPr>
          <w:trHeight w:val="426"/>
        </w:trPr>
        <w:tc>
          <w:tcPr>
            <w:tcW w:w="1935" w:type="dxa"/>
            <w:shd w:val="clear" w:color="auto" w:fill="auto"/>
          </w:tcPr>
          <w:p w14:paraId="098C6D30" w14:textId="2C3AEAEF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EA31A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6B456E1A" w14:textId="4F2CA85F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619DC6F7" w14:textId="77777777" w:rsidR="00AE5F40" w:rsidRDefault="00AE5F4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7CE6E4BE" w14:textId="77777777" w:rsidR="00AE5F40" w:rsidRDefault="00AE5F40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0E24642" w14:textId="77777777" w:rsidR="00AE5F40" w:rsidRDefault="00AE5F4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Einstiegsvariante 1: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verschiedene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Abstimmungen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zur Verwendung einer Gewinnsumme in der Klasse. Die Abstimmungsformen sind jedoch unterschiedlich (M 1),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oder</w:t>
            </w:r>
          </w:p>
          <w:p w14:paraId="43AE27EB" w14:textId="77777777" w:rsidR="00AE5F40" w:rsidRDefault="00AE5F40">
            <w:pPr>
              <w:spacing w:line="276" w:lineRule="auto"/>
              <w:ind w:left="1354"/>
            </w:pPr>
          </w:p>
          <w:p w14:paraId="0B3E4953" w14:textId="77777777" w:rsidR="00AE5F40" w:rsidRDefault="00AE5F4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Einstiegsvariante 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F8FBEA8" w14:textId="77777777" w:rsidR="00AE5F40" w:rsidRDefault="00AE5F40">
            <w:pPr>
              <w:spacing w:line="276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Besprechung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Comic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 </w:t>
            </w:r>
          </w:p>
          <w:p w14:paraId="78921423" w14:textId="77777777" w:rsidR="00AE5F40" w:rsidRDefault="00AE5F40">
            <w:pPr>
              <w:spacing w:line="276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Brainstorming über mögliche </w:t>
            </w:r>
          </w:p>
          <w:p w14:paraId="171B6C24" w14:textId="77777777" w:rsidR="00AE5F40" w:rsidRDefault="00AE5F40">
            <w:pPr>
              <w:spacing w:line="276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Wahlentscheidungen der drei </w:t>
            </w:r>
          </w:p>
          <w:p w14:paraId="12106A70" w14:textId="77777777" w:rsidR="00AE5F40" w:rsidRDefault="00AE5F40">
            <w:pPr>
              <w:spacing w:line="276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Personen, insbesondere Person     </w:t>
            </w:r>
          </w:p>
          <w:p w14:paraId="1ACFF77F" w14:textId="77777777" w:rsidR="00AE5F40" w:rsidRDefault="00AE5F40">
            <w:pPr>
              <w:spacing w:line="276" w:lineRule="auto"/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 </w:t>
            </w:r>
          </w:p>
          <w:p w14:paraId="37568E71" w14:textId="77777777" w:rsidR="00AE5F40" w:rsidRDefault="00AE5F4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Beteiligung bei Wahlen und leitet zum Stundenthema über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0EA34D96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29E42060" w14:textId="77777777" w:rsidR="00AE5F40" w:rsidRDefault="00AE5F40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sammeln Vorschläge zur Verwendung einer Gewinnsumme für die Klasse und stimmen darüber ab</w:t>
            </w:r>
          </w:p>
          <w:p w14:paraId="2FBAD526" w14:textId="77777777" w:rsidR="00AE5F40" w:rsidRDefault="00AE5F40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ihre Meinungen zu den verschiedenen Wahlspielen und Abstimmungsformen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D8FD737" w14:textId="77777777" w:rsidR="00AE5F40" w:rsidRDefault="00AE5F40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02402C9B" w14:textId="77777777" w:rsidR="00AE5F40" w:rsidRDefault="00AE5F40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Ideen, welche möglichen Wahlentscheidungen die drei Personen treffen könnten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2FBDEB1" w14:textId="77777777" w:rsidR="00AE5F40" w:rsidRDefault="00AE5F40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überlegen, was man Person C antworten könnte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62" w:type="dxa"/>
            <w:shd w:val="clear" w:color="auto" w:fill="auto"/>
          </w:tcPr>
          <w:p w14:paraId="439B28D6" w14:textId="77777777" w:rsidR="00AE5F40" w:rsidRDefault="00AE5F4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27A5FF3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BBFCEB0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2868EE83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92D062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75133AB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37E875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DDB954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1BA9C7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4CFE1A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9BCF7E0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  <w:p w14:paraId="517E0A57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6B5F8DC2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BCE49BB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EF6752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5B8D34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44EA9F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7E98A5C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F40" w14:paraId="3BFA398F" w14:textId="77777777" w:rsidTr="00AE5F40">
        <w:trPr>
          <w:trHeight w:val="1097"/>
        </w:trPr>
        <w:tc>
          <w:tcPr>
            <w:tcW w:w="1935" w:type="dxa"/>
            <w:shd w:val="clear" w:color="auto" w:fill="DBE5F1"/>
          </w:tcPr>
          <w:p w14:paraId="72268B33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4BB724B4" w14:textId="1103C828" w:rsidR="00AE5F40" w:rsidRDefault="00AE5F40">
            <w:r>
              <w:rPr>
                <w:rFonts w:ascii="Calibri" w:hAnsi="Calibri" w:cs="Calibri"/>
                <w:bCs/>
                <w:sz w:val="20"/>
                <w:szCs w:val="20"/>
              </w:rPr>
              <w:t>(40‘)</w:t>
            </w:r>
          </w:p>
          <w:p w14:paraId="4C07ECEC" w14:textId="77777777" w:rsidR="00AE5F40" w:rsidRDefault="00AE5F4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7190A46" w14:textId="77777777" w:rsidR="00AE5F40" w:rsidRDefault="00AE5F4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46AC18E3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343A729" w14:textId="77777777" w:rsidR="00AE5F40" w:rsidRDefault="00AE5F4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die Lösung des Arbeitsblattes zu Argumenten PRO Wählen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570C2E8" w14:textId="77777777" w:rsidR="00AE5F40" w:rsidRDefault="00AE5F40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14:paraId="31F23784" w14:textId="77777777" w:rsidR="00AE5F40" w:rsidRDefault="00AE5F40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14:paraId="344898BF" w14:textId="77777777" w:rsidR="00AE5F40" w:rsidRDefault="00AE5F40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14:paraId="6018B066" w14:textId="77777777" w:rsidR="00AE5F40" w:rsidRDefault="00AE5F40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14:paraId="2E34312B" w14:textId="035E3EBD" w:rsidR="00AE5F40" w:rsidRDefault="00AE5F4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SuS im zweiten Schritt </w:t>
            </w:r>
            <w:r>
              <w:rPr>
                <w:rFonts w:ascii="Calibri" w:hAnsi="Calibri" w:cs="Calibri"/>
                <w:sz w:val="20"/>
                <w:szCs w:val="20"/>
              </w:rPr>
              <w:t>dazu auf, eine Postkarte zu entwerfen, die für die Beteiligung an Wahlen motivieren soll (AB</w:t>
            </w:r>
            <w:r w:rsidR="00251BA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2)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234EF89E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7A48F81" w14:textId="6AEFCC42" w:rsidR="00AE5F40" w:rsidRDefault="00AE5F40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lesen in Einzelarbeit Argumente und Begründungen für die Teilnahme an Wahlen und ordnen diese gemeinsam mit eine</w:t>
            </w:r>
            <w:r w:rsidR="000C689D">
              <w:rPr>
                <w:rFonts w:ascii="Calibri" w:hAnsi="Calibri" w:cs="Calibri"/>
                <w:sz w:val="20"/>
                <w:szCs w:val="20"/>
              </w:rPr>
              <w:t>r</w:t>
            </w:r>
            <w:r w:rsidR="00D955EB">
              <w:rPr>
                <w:rFonts w:ascii="Calibri" w:hAnsi="Calibri" w:cs="Calibri"/>
                <w:sz w:val="20"/>
                <w:szCs w:val="20"/>
              </w:rPr>
              <w:t>/</w:t>
            </w:r>
            <w:r w:rsidR="000C689D">
              <w:rPr>
                <w:rFonts w:ascii="Calibri" w:hAnsi="Calibri" w:cs="Calibri"/>
                <w:sz w:val="20"/>
                <w:szCs w:val="20"/>
              </w:rPr>
              <w:t>eine</w:t>
            </w:r>
            <w:r>
              <w:rPr>
                <w:rFonts w:ascii="Calibri" w:hAnsi="Calibri" w:cs="Calibri"/>
                <w:sz w:val="20"/>
                <w:szCs w:val="20"/>
              </w:rPr>
              <w:t>m Partner</w:t>
            </w:r>
            <w:r w:rsidR="00D955EB">
              <w:rPr>
                <w:rFonts w:ascii="Calibri" w:hAnsi="Calibri" w:cs="Calibri"/>
                <w:sz w:val="20"/>
                <w:szCs w:val="20"/>
              </w:rPr>
              <w:t>/</w:t>
            </w:r>
            <w:r w:rsidR="000C689D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auf dem Arbeitsblatt zu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F2213FD" w14:textId="77777777" w:rsidR="00AE5F40" w:rsidRDefault="00AE5F40">
            <w:pPr>
              <w:spacing w:line="276" w:lineRule="auto"/>
              <w:ind w:left="1245"/>
              <w:rPr>
                <w:rFonts w:ascii="Calibri" w:hAnsi="Calibri" w:cs="Calibri"/>
                <w:sz w:val="20"/>
                <w:szCs w:val="20"/>
              </w:rPr>
            </w:pPr>
          </w:p>
          <w:p w14:paraId="0965BFBC" w14:textId="094B570D" w:rsidR="00AE5F40" w:rsidRDefault="00AE5F40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entwerfen mit eine</w:t>
            </w:r>
            <w:r w:rsidR="000C689D">
              <w:rPr>
                <w:rFonts w:ascii="Calibri" w:hAnsi="Calibri" w:cs="Calibri"/>
                <w:sz w:val="20"/>
                <w:szCs w:val="20"/>
              </w:rPr>
              <w:t>r</w:t>
            </w:r>
            <w:r w:rsidR="00D955EB">
              <w:rPr>
                <w:rFonts w:ascii="Calibri" w:hAnsi="Calibri" w:cs="Calibri"/>
                <w:sz w:val="20"/>
                <w:szCs w:val="20"/>
              </w:rPr>
              <w:t>/</w:t>
            </w:r>
            <w:r w:rsidR="000C689D">
              <w:rPr>
                <w:rFonts w:ascii="Calibri" w:hAnsi="Calibri" w:cs="Calibri"/>
                <w:sz w:val="20"/>
                <w:szCs w:val="20"/>
              </w:rPr>
              <w:t>eine</w:t>
            </w:r>
            <w:r>
              <w:rPr>
                <w:rFonts w:ascii="Calibri" w:hAnsi="Calibri" w:cs="Calibri"/>
                <w:sz w:val="20"/>
                <w:szCs w:val="20"/>
              </w:rPr>
              <w:t>m Partner</w:t>
            </w:r>
            <w:r w:rsidR="00D955EB">
              <w:rPr>
                <w:rFonts w:ascii="Calibri" w:hAnsi="Calibri" w:cs="Calibri"/>
                <w:sz w:val="20"/>
                <w:szCs w:val="20"/>
              </w:rPr>
              <w:t>/</w:t>
            </w:r>
            <w:r w:rsidR="000C689D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oder in einer Gruppe eine Postkarte (Vorderseite mit Slogan, Rückseite mit Argumenten)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62" w:type="dxa"/>
            <w:shd w:val="clear" w:color="auto" w:fill="DBE5F1"/>
          </w:tcPr>
          <w:p w14:paraId="1F79354A" w14:textId="77777777" w:rsidR="00AE5F40" w:rsidRDefault="00AE5F4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7FE0EE2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 und Partnerarbeit</w:t>
            </w:r>
          </w:p>
          <w:p w14:paraId="388DB404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AB 1 </w:t>
            </w:r>
          </w:p>
          <w:p w14:paraId="2F3FD4F9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EDA0DED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E552326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3251C8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C782B7E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Partner- oder Gruppenarbeit AB 2</w:t>
            </w:r>
          </w:p>
          <w:p w14:paraId="19293F57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6FB9C8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370AF0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DAB9EDB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F40" w14:paraId="2B4C2097" w14:textId="77777777" w:rsidTr="00AE5F40">
        <w:trPr>
          <w:trHeight w:val="1097"/>
        </w:trPr>
        <w:tc>
          <w:tcPr>
            <w:tcW w:w="1935" w:type="dxa"/>
            <w:shd w:val="clear" w:color="auto" w:fill="auto"/>
          </w:tcPr>
          <w:p w14:paraId="097F027D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14:paraId="688F1939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54C7992A" w14:textId="77777777" w:rsidR="00AE5F40" w:rsidRDefault="00AE5F4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084BCAF6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EB5E5A7" w14:textId="77777777" w:rsidR="00AE5F40" w:rsidRDefault="00AE5F40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zur Präsentation ihrer Ergebnisse auf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auto"/>
          </w:tcPr>
          <w:p w14:paraId="033830E8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DB8E3B7" w14:textId="77777777" w:rsidR="00AE5F40" w:rsidRDefault="00AE5F40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und vergleichen ihre Postkarten, Slogans und Kurztexte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62" w:type="dxa"/>
            <w:shd w:val="clear" w:color="auto" w:fill="auto"/>
          </w:tcPr>
          <w:p w14:paraId="59049622" w14:textId="77777777" w:rsidR="00AE5F40" w:rsidRDefault="00AE5F4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007F1B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 2</w:t>
            </w:r>
          </w:p>
          <w:p w14:paraId="4E18DFBC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F40" w14:paraId="124C6976" w14:textId="77777777" w:rsidTr="00AE5F40">
        <w:trPr>
          <w:trHeight w:val="1097"/>
        </w:trPr>
        <w:tc>
          <w:tcPr>
            <w:tcW w:w="1935" w:type="dxa"/>
            <w:shd w:val="clear" w:color="auto" w:fill="DBE5F1"/>
          </w:tcPr>
          <w:p w14:paraId="228B0CE9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4B7B0822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49F3D0C0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99C2BC5" w14:textId="7D2A80D0" w:rsidR="00AE5F40" w:rsidRDefault="00AE5F40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nennt oder zeigt kritische Aussagen zur Wahlbeteiligung (M</w:t>
            </w:r>
            <w:r w:rsidR="00CC057D"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) und fordert SuS auf, passende Antworten zu formulieren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3405" w:type="dxa"/>
            <w:shd w:val="clear" w:color="auto" w:fill="DBE5F1"/>
          </w:tcPr>
          <w:p w14:paraId="6747EC1F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D3A4D02" w14:textId="77777777" w:rsidR="00AE5F40" w:rsidRDefault="00AE5F40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nennen Argumente, die für die Beteiligung an Wahlen sprechen</w:t>
            </w:r>
            <w:r w:rsidR="00965F7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0A92735" w14:textId="77777777" w:rsidR="00AE5F40" w:rsidRDefault="00AE5F4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4520229" w14:textId="77777777" w:rsidR="00AE5F40" w:rsidRDefault="00AE5F4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DBE5F1"/>
          </w:tcPr>
          <w:p w14:paraId="59299391" w14:textId="77777777" w:rsidR="00AE5F40" w:rsidRDefault="00AE5F4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B0F161E" w14:textId="77777777" w:rsidR="00AE5F40" w:rsidRDefault="00AE5F4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CD03AB6" w14:textId="77777777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B6952B3" w14:textId="75D19F4D" w:rsidR="00AE5F40" w:rsidRDefault="00AE5F4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CC057D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2967D28" w14:textId="77777777" w:rsidR="00AE5F40" w:rsidRDefault="00AE5F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5F40" w14:paraId="1CC9BD5F" w14:textId="77777777" w:rsidTr="00AE5F40">
        <w:trPr>
          <w:trHeight w:val="1097"/>
        </w:trPr>
        <w:tc>
          <w:tcPr>
            <w:tcW w:w="1935" w:type="dxa"/>
            <w:shd w:val="clear" w:color="auto" w:fill="auto"/>
          </w:tcPr>
          <w:p w14:paraId="18768626" w14:textId="77777777" w:rsidR="00AE5F40" w:rsidRDefault="00AE5F40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16050EB6" w14:textId="77777777" w:rsidR="00AE5F40" w:rsidRDefault="00AE5F40">
            <w:pPr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Spot zum Thema „Geh Wählen“: </w:t>
            </w:r>
          </w:p>
          <w:p w14:paraId="5B122AB7" w14:textId="3A4B36A2" w:rsidR="00AE5F40" w:rsidRDefault="00000000">
            <w:pPr>
              <w:snapToGrid w:val="0"/>
            </w:pPr>
            <w:hyperlink r:id="rId7" w:history="1">
              <w:r w:rsidR="00AE5F40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https://www.youtube.com/watch?v=AsbFbVxDHeM</w:t>
              </w:r>
            </w:hyperlink>
            <w:r w:rsidR="00AE5F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955EB">
              <w:rPr>
                <w:rFonts w:ascii="Calibri" w:hAnsi="Calibri" w:cs="Calibri"/>
                <w:sz w:val="20"/>
                <w:szCs w:val="20"/>
              </w:rPr>
              <w:t>(2017)</w:t>
            </w:r>
          </w:p>
          <w:p w14:paraId="62FD9D13" w14:textId="2690AFDA" w:rsidR="00AE5F40" w:rsidRDefault="0000000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hyperlink r:id="rId8" w:history="1">
              <w:r w:rsidR="00D955EB" w:rsidRPr="002F204A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https://www.youtube.com/watch?v=N-lVG6QBWyw</w:t>
              </w:r>
            </w:hyperlink>
            <w:r w:rsidR="00D955EB">
              <w:rPr>
                <w:rFonts w:ascii="Calibri" w:hAnsi="Calibri" w:cs="Calibri"/>
                <w:sz w:val="20"/>
                <w:szCs w:val="20"/>
              </w:rPr>
              <w:t xml:space="preserve"> (2021)</w:t>
            </w:r>
          </w:p>
        </w:tc>
        <w:tc>
          <w:tcPr>
            <w:tcW w:w="3405" w:type="dxa"/>
            <w:shd w:val="clear" w:color="auto" w:fill="auto"/>
          </w:tcPr>
          <w:p w14:paraId="367FBFA3" w14:textId="77777777" w:rsidR="00AE5F40" w:rsidRDefault="00AE5F4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5DE7B2F8" w14:textId="77777777" w:rsidR="00AE5F40" w:rsidRDefault="00AE5F4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272A0DC" w14:textId="77777777" w:rsidR="00AE5F40" w:rsidRDefault="00AE5F40"/>
    <w:p w14:paraId="0291C602" w14:textId="77777777" w:rsidR="00AE5F40" w:rsidRDefault="00AE5F40"/>
    <w:p w14:paraId="4CFBA049" w14:textId="77777777" w:rsidR="00AE5F40" w:rsidRDefault="00AE5F40"/>
    <w:p w14:paraId="6C40E03E" w14:textId="77777777" w:rsidR="00AE5F40" w:rsidRDefault="00AE5F40"/>
    <w:p w14:paraId="0FE78E8E" w14:textId="77777777" w:rsidR="00AE5F40" w:rsidRDefault="00AE5F40"/>
    <w:p w14:paraId="4154A3F2" w14:textId="77777777" w:rsidR="00AE5F40" w:rsidRDefault="00AE5F40"/>
    <w:p w14:paraId="672243E4" w14:textId="77777777" w:rsidR="00AE5F40" w:rsidRDefault="00AE5F40"/>
    <w:p w14:paraId="28937EE3" w14:textId="77777777" w:rsidR="00AE5F40" w:rsidRDefault="00AE5F40"/>
    <w:p w14:paraId="3D778403" w14:textId="77777777" w:rsidR="00AE5F40" w:rsidRDefault="00AE5F40"/>
    <w:p w14:paraId="2D102DC0" w14:textId="77777777" w:rsidR="00AE5F40" w:rsidRDefault="00AE5F40"/>
    <w:p w14:paraId="60B7DD3D" w14:textId="77777777" w:rsidR="00AE5F40" w:rsidRDefault="00AE5F40"/>
    <w:p w14:paraId="08AF59BC" w14:textId="77777777" w:rsidR="00AE5F40" w:rsidRDefault="00AE5F40"/>
    <w:p w14:paraId="4A123C57" w14:textId="77777777" w:rsidR="00AE5F40" w:rsidRDefault="00AE5F40"/>
    <w:p w14:paraId="38A1B48A" w14:textId="77777777" w:rsidR="00AE5F40" w:rsidRDefault="00AE5F40"/>
    <w:p w14:paraId="2E97F14B" w14:textId="77777777" w:rsidR="00AE5F40" w:rsidRDefault="00AE5F40"/>
    <w:p w14:paraId="161097F3" w14:textId="77777777" w:rsidR="00AE5F40" w:rsidRDefault="00AE5F40"/>
    <w:p w14:paraId="15A2069E" w14:textId="77777777" w:rsidR="00AE5F40" w:rsidRDefault="00AE5F40"/>
    <w:p w14:paraId="03E49DDD" w14:textId="77777777" w:rsidR="00AE5F40" w:rsidRDefault="00AE5F40"/>
    <w:p w14:paraId="7488DF2E" w14:textId="77777777" w:rsidR="00AE5F40" w:rsidRDefault="00AE5F40"/>
    <w:p w14:paraId="41E6D4E2" w14:textId="77777777" w:rsidR="00AE5F40" w:rsidRDefault="00AE5F40"/>
    <w:p w14:paraId="4F81AE9A" w14:textId="77777777" w:rsidR="00AE5F40" w:rsidRDefault="00AE5F40"/>
    <w:p w14:paraId="3D14353E" w14:textId="77777777" w:rsidR="00AE5F40" w:rsidRDefault="00AE5F40"/>
    <w:p w14:paraId="4B4B698F" w14:textId="77777777" w:rsidR="00AE5F40" w:rsidRDefault="00AE5F40"/>
    <w:p w14:paraId="271D6B37" w14:textId="77777777" w:rsidR="00AE5F40" w:rsidRDefault="00AE5F40"/>
    <w:p w14:paraId="2EA6F5C6" w14:textId="77777777" w:rsidR="00AE5F40" w:rsidRDefault="00AE5F40"/>
    <w:p w14:paraId="562F69C5" w14:textId="77777777" w:rsidR="00AE5F40" w:rsidRDefault="00AE5F40"/>
    <w:p w14:paraId="73F99749" w14:textId="77777777" w:rsidR="00AE5F40" w:rsidRDefault="00AE5F40"/>
    <w:p w14:paraId="492DBADD" w14:textId="77777777" w:rsidR="00AE5F40" w:rsidRDefault="00AE5F40">
      <w:pPr>
        <w:rPr>
          <w:rFonts w:ascii="Calibri" w:hAnsi="Calibri" w:cs="Calibri"/>
          <w:b/>
          <w:bCs/>
        </w:rPr>
      </w:pPr>
    </w:p>
    <w:p w14:paraId="7A668720" w14:textId="77777777" w:rsidR="00AE5F40" w:rsidRDefault="00AE5F40">
      <w:pPr>
        <w:rPr>
          <w:rFonts w:ascii="Calibri" w:hAnsi="Calibri" w:cs="Calibri"/>
          <w:b/>
          <w:bCs/>
        </w:rPr>
      </w:pPr>
    </w:p>
    <w:p w14:paraId="4A5AC478" w14:textId="77777777" w:rsidR="00AE5F40" w:rsidRDefault="00AE5F40">
      <w:pPr>
        <w:rPr>
          <w:rFonts w:ascii="Calibri" w:hAnsi="Calibri" w:cs="Calibri"/>
          <w:b/>
          <w:bCs/>
        </w:rPr>
      </w:pPr>
    </w:p>
    <w:p w14:paraId="17301486" w14:textId="77777777" w:rsidR="00AE5F40" w:rsidRDefault="00AE5F40">
      <w:pPr>
        <w:rPr>
          <w:rFonts w:ascii="Calibri" w:hAnsi="Calibri" w:cs="Calibri"/>
          <w:b/>
          <w:bCs/>
        </w:rPr>
      </w:pPr>
    </w:p>
    <w:p w14:paraId="2A9025DC" w14:textId="77777777" w:rsidR="00AE5F40" w:rsidRDefault="00AE5F40">
      <w:pPr>
        <w:rPr>
          <w:rFonts w:ascii="Calibri" w:hAnsi="Calibri" w:cs="Calibri"/>
          <w:b/>
          <w:bCs/>
        </w:rPr>
      </w:pPr>
    </w:p>
    <w:p w14:paraId="77091FD7" w14:textId="77777777" w:rsidR="00AE5F40" w:rsidRDefault="00AE5F40">
      <w:pPr>
        <w:rPr>
          <w:rFonts w:ascii="Calibri" w:hAnsi="Calibri" w:cs="Calibri"/>
          <w:b/>
          <w:bCs/>
        </w:rPr>
      </w:pPr>
    </w:p>
    <w:p w14:paraId="341780C7" w14:textId="77777777" w:rsidR="00AE5F40" w:rsidRDefault="00AE5F40">
      <w:pPr>
        <w:rPr>
          <w:rFonts w:ascii="Calibri" w:hAnsi="Calibri" w:cs="Calibri"/>
          <w:b/>
          <w:bCs/>
        </w:rPr>
      </w:pPr>
    </w:p>
    <w:p w14:paraId="04B42DEF" w14:textId="77777777" w:rsidR="00AE5F40" w:rsidRDefault="00AE5F40">
      <w:pPr>
        <w:rPr>
          <w:rFonts w:ascii="Calibri" w:hAnsi="Calibri" w:cs="Calibri"/>
          <w:b/>
          <w:bCs/>
        </w:rPr>
      </w:pPr>
    </w:p>
    <w:sectPr w:rsidR="00AE5F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E8B5" w14:textId="77777777" w:rsidR="005E127E" w:rsidRDefault="005E127E">
      <w:r>
        <w:separator/>
      </w:r>
    </w:p>
  </w:endnote>
  <w:endnote w:type="continuationSeparator" w:id="0">
    <w:p w14:paraId="6F7C1D44" w14:textId="77777777" w:rsidR="005E127E" w:rsidRDefault="005E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C7E5" w14:textId="77777777" w:rsidR="00832E20" w:rsidRDefault="00832E2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D512" w14:textId="77777777" w:rsidR="00832E20" w:rsidRDefault="00832E2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0B00" w14:textId="77777777" w:rsidR="00832E20" w:rsidRDefault="00832E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6D64" w14:textId="77777777" w:rsidR="005E127E" w:rsidRDefault="005E127E">
      <w:r>
        <w:separator/>
      </w:r>
    </w:p>
  </w:footnote>
  <w:footnote w:type="continuationSeparator" w:id="0">
    <w:p w14:paraId="7B370F15" w14:textId="77777777" w:rsidR="005E127E" w:rsidRDefault="005E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222E8" w14:textId="77777777" w:rsidR="00832E20" w:rsidRDefault="00832E2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E93A" w14:textId="5632158D" w:rsidR="00AE5F40" w:rsidRPr="001C7424" w:rsidRDefault="005E127E" w:rsidP="001C7424">
    <w:pPr>
      <w:pStyle w:val="Kopfzeile"/>
      <w:rPr>
        <w:rFonts w:ascii="Arial Unicode MS" w:eastAsia="Arial Unicode MS" w:hAnsi="Arial Unicode MS" w:cs="Arial Unicode MS"/>
      </w:rPr>
    </w:pPr>
    <w:r>
      <w:rPr>
        <w:noProof/>
        <w:lang w:eastAsia="de-DE"/>
      </w:rPr>
      <w:pict w14:anchorId="127757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Juniorwahl logo" style="position:absolute;margin-left:392.75pt;margin-top:-11.1pt;width:87.9pt;height:36.45pt;z-index:1;mso-wrap-edited:f;mso-width-percent:0;mso-height-percent:0;mso-width-percent:0;mso-height-percent:0">
          <v:imagedata r:id="rId1" o:title="Juniorwahl logo"/>
          <w10:wrap type="square"/>
        </v:shape>
      </w:pict>
    </w:r>
    <w:r w:rsidR="001C7424" w:rsidRPr="0062277C">
      <w:rPr>
        <w:rFonts w:ascii="Arial Unicode MS" w:eastAsia="Arial Unicode MS" w:hAnsi="Arial Unicode MS" w:cs="Arial Unicode MS"/>
        <w:b/>
      </w:rPr>
      <w:t>Vorschlag zur Verlaufsplanung</w:t>
    </w:r>
    <w:r w:rsidR="001C7424">
      <w:rPr>
        <w:rFonts w:ascii="Arial Unicode MS" w:eastAsia="Arial Unicode MS" w:hAnsi="Arial Unicode MS" w:cs="Arial Unicode MS"/>
      </w:rPr>
      <w:t xml:space="preserve"> </w:t>
    </w:r>
    <w:r w:rsidR="001C7424" w:rsidRPr="00E2646F">
      <w:rPr>
        <w:rFonts w:ascii="Arial Unicode MS" w:eastAsia="Arial Unicode MS" w:hAnsi="Arial Unicode MS" w:cs="Arial Unicode MS"/>
        <w:color w:val="BFBFBF"/>
        <w:sz w:val="14"/>
        <w:szCs w:val="14"/>
      </w:rPr>
      <w:t>- Modul 1 Nivea</w:t>
    </w:r>
    <w:r w:rsidR="001C7424">
      <w:rPr>
        <w:rFonts w:ascii="Arial Unicode MS" w:eastAsia="Arial Unicode MS" w:hAnsi="Arial Unicode MS" w:cs="Arial Unicode MS"/>
        <w:color w:val="BFBFBF"/>
        <w:sz w:val="14"/>
        <w:szCs w:val="14"/>
      </w:rPr>
      <w:t>u</w:t>
    </w:r>
    <w:r w:rsidR="001C7424" w:rsidRPr="00E2646F">
      <w:rPr>
        <w:rFonts w:ascii="Arial Unicode MS" w:eastAsia="Arial Unicode MS" w:hAnsi="Arial Unicode MS" w:cs="Arial Unicode MS"/>
        <w:color w:val="BFBFBF"/>
        <w:sz w:val="14"/>
        <w:szCs w:val="14"/>
      </w:rPr>
      <w:t>stufe II</w:t>
    </w:r>
    <w:r w:rsidR="00AE5F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1DCA3" w14:textId="77777777" w:rsidR="00832E20" w:rsidRDefault="00832E2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num w:numId="1" w16cid:durableId="1968850895">
    <w:abstractNumId w:val="0"/>
  </w:num>
  <w:num w:numId="2" w16cid:durableId="627902506">
    <w:abstractNumId w:val="1"/>
  </w:num>
  <w:num w:numId="3" w16cid:durableId="241572099">
    <w:abstractNumId w:val="2"/>
  </w:num>
  <w:num w:numId="4" w16cid:durableId="1907491610">
    <w:abstractNumId w:val="3"/>
  </w:num>
  <w:num w:numId="5" w16cid:durableId="1692536367">
    <w:abstractNumId w:val="4"/>
  </w:num>
  <w:num w:numId="6" w16cid:durableId="1778476233">
    <w:abstractNumId w:val="5"/>
  </w:num>
  <w:num w:numId="7" w16cid:durableId="1845898597">
    <w:abstractNumId w:val="6"/>
  </w:num>
  <w:num w:numId="8" w16cid:durableId="1902906260">
    <w:abstractNumId w:val="7"/>
  </w:num>
  <w:num w:numId="9" w16cid:durableId="223874319">
    <w:abstractNumId w:val="8"/>
  </w:num>
  <w:num w:numId="10" w16cid:durableId="707024004">
    <w:abstractNumId w:val="9"/>
  </w:num>
  <w:num w:numId="11" w16cid:durableId="174732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50D5"/>
    <w:rsid w:val="0008747E"/>
    <w:rsid w:val="000C689D"/>
    <w:rsid w:val="001328A7"/>
    <w:rsid w:val="001A7006"/>
    <w:rsid w:val="001C7424"/>
    <w:rsid w:val="00211C7E"/>
    <w:rsid w:val="00213F1D"/>
    <w:rsid w:val="00251BA9"/>
    <w:rsid w:val="00284920"/>
    <w:rsid w:val="002F4609"/>
    <w:rsid w:val="004F7B57"/>
    <w:rsid w:val="005E127E"/>
    <w:rsid w:val="006A50D5"/>
    <w:rsid w:val="00786D78"/>
    <w:rsid w:val="007D2ACE"/>
    <w:rsid w:val="007E5E7D"/>
    <w:rsid w:val="00832E20"/>
    <w:rsid w:val="008C7910"/>
    <w:rsid w:val="00965F75"/>
    <w:rsid w:val="00A904A7"/>
    <w:rsid w:val="00AA166F"/>
    <w:rsid w:val="00AE5F40"/>
    <w:rsid w:val="00CC057D"/>
    <w:rsid w:val="00D955EB"/>
    <w:rsid w:val="00E25F9F"/>
    <w:rsid w:val="00E34193"/>
    <w:rsid w:val="00EA31AB"/>
    <w:rsid w:val="00F2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95113B2"/>
  <w14:defaultImageDpi w14:val="300"/>
  <w15:chartTrackingRefBased/>
  <w15:docId w15:val="{D0419852-C552-DA4C-8EE2-48046CCE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  <w:szCs w:val="20"/>
    </w:rPr>
  </w:style>
  <w:style w:type="character" w:customStyle="1" w:styleId="WW8Num3z0">
    <w:name w:val="WW8Num3z0"/>
    <w:rPr>
      <w:rFonts w:ascii="Symbol" w:hAnsi="Symbol" w:cs="Calibri" w:hint="default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  <w:sz w:val="20"/>
      <w:szCs w:val="20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  <w:sz w:val="22"/>
      <w:szCs w:val="22"/>
    </w:rPr>
  </w:style>
  <w:style w:type="character" w:customStyle="1" w:styleId="WW8Num10z0">
    <w:name w:val="WW8Num10z0"/>
    <w:rPr>
      <w:rFonts w:ascii="Calibri" w:hAnsi="Calibri" w:cs="Calibri" w:hint="default"/>
      <w:sz w:val="22"/>
      <w:szCs w:val="22"/>
    </w:rPr>
  </w:style>
  <w:style w:type="character" w:customStyle="1" w:styleId="WW8Num11z0">
    <w:name w:val="WW8Num11z0"/>
    <w:rPr>
      <w:rFonts w:ascii="Calibri" w:hAnsi="Calibri" w:cs="Calibri" w:hint="default"/>
      <w:sz w:val="20"/>
      <w:szCs w:val="20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Calibri" w:hAnsi="Calibri" w:cs="Calibri" w:hint="default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  <w:rPr>
      <w:rFonts w:hint="default"/>
    </w:rPr>
  </w:style>
  <w:style w:type="character" w:customStyle="1" w:styleId="WW8Num16z0">
    <w:name w:val="WW8Num16z0"/>
    <w:rPr>
      <w:rFonts w:hint="default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paragraph" w:customStyle="1" w:styleId="Rahmeninhalt">
    <w:name w:val="Rahmeninhalt"/>
    <w:basedOn w:val="Standard"/>
  </w:style>
  <w:style w:type="character" w:styleId="BesuchterLink">
    <w:name w:val="FollowedHyperlink"/>
    <w:uiPriority w:val="99"/>
    <w:semiHidden/>
    <w:unhideWhenUsed/>
    <w:rsid w:val="00F26C07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D9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-lVG6QBWyw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sbFbVxDHe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Links>
    <vt:vector size="6" baseType="variant">
      <vt:variant>
        <vt:i4>3997758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https://www.youtube.com/watch?v=AsbFbVxDHeM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Dialog P Info</cp:lastModifiedBy>
  <cp:revision>13</cp:revision>
  <cp:lastPrinted>1995-11-21T16:41:00Z</cp:lastPrinted>
  <dcterms:created xsi:type="dcterms:W3CDTF">2021-02-17T13:52:00Z</dcterms:created>
  <dcterms:modified xsi:type="dcterms:W3CDTF">2024-11-20T09:50:00Z</dcterms:modified>
</cp:coreProperties>
</file>