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D814954" w14:textId="77777777" w:rsidR="00C06A59" w:rsidRDefault="00C06A59">
      <w:pPr>
        <w:jc w:val="center"/>
      </w:pPr>
    </w:p>
    <w:p w14:paraId="13E70218" w14:textId="77777777" w:rsidR="00C06A59" w:rsidRDefault="00C06A59">
      <w:pPr>
        <w:jc w:val="center"/>
      </w:pPr>
    </w:p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2262"/>
        <w:gridCol w:w="4083"/>
        <w:gridCol w:w="1310"/>
      </w:tblGrid>
      <w:tr w:rsidR="0012746B" w14:paraId="0549FDCC" w14:textId="77777777" w:rsidTr="00C06A59">
        <w:trPr>
          <w:jc w:val="center"/>
        </w:trPr>
        <w:tc>
          <w:tcPr>
            <w:tcW w:w="10490" w:type="dxa"/>
            <w:gridSpan w:val="5"/>
            <w:shd w:val="clear" w:color="auto" w:fill="4472C4" w:themeFill="accent1"/>
          </w:tcPr>
          <w:p w14:paraId="4722F2B1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Modul 2</w:t>
            </w:r>
          </w:p>
          <w:p w14:paraId="22C54738" w14:textId="74DBE255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Der </w:t>
            </w:r>
            <w:r w:rsidR="001303A4">
              <w:rPr>
                <w:b/>
              </w:rPr>
              <w:t xml:space="preserve">Deutsche </w:t>
            </w:r>
            <w:r>
              <w:rPr>
                <w:b/>
              </w:rPr>
              <w:t>Bundestag</w:t>
            </w:r>
          </w:p>
        </w:tc>
      </w:tr>
      <w:tr w:rsidR="0012746B" w14:paraId="183982B4" w14:textId="77777777" w:rsidTr="00C06A59">
        <w:trPr>
          <w:jc w:val="center"/>
        </w:trPr>
        <w:tc>
          <w:tcPr>
            <w:tcW w:w="10490" w:type="dxa"/>
            <w:gridSpan w:val="5"/>
            <w:shd w:val="clear" w:color="auto" w:fill="D9E2F3" w:themeFill="accent1" w:themeFillTint="33"/>
          </w:tcPr>
          <w:p w14:paraId="029A3568" w14:textId="486D7686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Vertiefungsangebot</w:t>
            </w:r>
            <w:r w:rsidR="00843702">
              <w:rPr>
                <w:b/>
              </w:rPr>
              <w:t xml:space="preserve"> </w:t>
            </w:r>
            <w:r w:rsidR="00843702" w:rsidRPr="00843702">
              <w:rPr>
                <w:sz w:val="20"/>
                <w:szCs w:val="20"/>
              </w:rPr>
              <w:t>(90 Min.)</w:t>
            </w:r>
          </w:p>
          <w:p w14:paraId="70FF9665" w14:textId="77777777" w:rsidR="0012746B" w:rsidRDefault="000529A4">
            <w:pPr>
              <w:keepNext/>
              <w:widowControl w:val="0"/>
              <w:shd w:val="clear" w:color="auto" w:fill="DEEAF6"/>
              <w:spacing w:line="276" w:lineRule="auto"/>
              <w:jc w:val="center"/>
            </w:pPr>
            <w:r>
              <w:rPr>
                <w:b/>
              </w:rPr>
              <w:t xml:space="preserve">Themenfrage: </w:t>
            </w:r>
            <w:r>
              <w:rPr>
                <w:bCs/>
              </w:rPr>
              <w:t xml:space="preserve">Bundestag und Bundesrat – funktionale Einheit oder Blockade? </w:t>
            </w:r>
          </w:p>
        </w:tc>
      </w:tr>
      <w:tr w:rsidR="0012746B" w14:paraId="29546CD5" w14:textId="77777777" w:rsidTr="00C06A59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7157EE0F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555497E7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2746B" w14:paraId="4F1D6FF4" w14:textId="77777777" w:rsidTr="00C06A59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26E00125" w14:textId="77777777" w:rsidR="0012746B" w:rsidRDefault="000529A4">
            <w:pPr>
              <w:widowControl w:val="0"/>
              <w:spacing w:line="276" w:lineRule="auto"/>
            </w:pPr>
            <w:r>
              <w:rPr>
                <w:bCs/>
                <w:sz w:val="20"/>
                <w:szCs w:val="20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7A98B324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Die SuS erschließen Zeitungsüberschriften, Texte und Diagramme zur Beantwortung der Leitfrage.</w:t>
            </w:r>
          </w:p>
        </w:tc>
      </w:tr>
      <w:tr w:rsidR="0012746B" w14:paraId="1F4BF2F2" w14:textId="77777777" w:rsidTr="00C06A59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375CB17E" w14:textId="77777777" w:rsidR="0012746B" w:rsidRDefault="000529A4">
            <w:pPr>
              <w:widowControl w:val="0"/>
              <w:spacing w:line="276" w:lineRule="auto"/>
            </w:pPr>
            <w:r>
              <w:rPr>
                <w:bCs/>
                <w:sz w:val="20"/>
                <w:szCs w:val="20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7A11FE0B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 xml:space="preserve">Die SuS analysieren Materialien zur Bedeutung und zur Zusammensetzung sowie zu den Aufgaben </w:t>
            </w:r>
            <w:r w:rsidRPr="003A2A7A">
              <w:rPr>
                <w:sz w:val="20"/>
                <w:szCs w:val="20"/>
              </w:rPr>
              <w:t>des Bundestages im Zusammenspiel mit dem Bundesrat. Die SuS analysieren sowohl Bereiche der Kooperation der beiden Verfassungsorgane als auch</w:t>
            </w:r>
            <w:r>
              <w:rPr>
                <w:sz w:val="20"/>
                <w:szCs w:val="20"/>
              </w:rPr>
              <w:t xml:space="preserve"> die Möglichkeit der Blockade durch den Bundesrat aufgrund fehlender Mehrheiten der Bundesregierung in der Länderkammer. </w:t>
            </w:r>
          </w:p>
        </w:tc>
      </w:tr>
      <w:tr w:rsidR="0012746B" w14:paraId="6C544CBC" w14:textId="77777777" w:rsidTr="00C06A59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3FB3E6A3" w14:textId="77777777" w:rsidR="0012746B" w:rsidRDefault="000529A4">
            <w:pPr>
              <w:widowControl w:val="0"/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73A3C1F2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Die SuS wählen Argumente für die eigene Stellungnahme aus ihren Arbeitsergebnissen aus, gewichten diese und kommen zu einer individuellen Stellungnahme zur Leitfrage.</w:t>
            </w:r>
          </w:p>
        </w:tc>
      </w:tr>
      <w:tr w:rsidR="0012746B" w14:paraId="6DBB6FC9" w14:textId="77777777" w:rsidTr="00C06A59">
        <w:trPr>
          <w:jc w:val="center"/>
        </w:trPr>
        <w:tc>
          <w:tcPr>
            <w:tcW w:w="10490" w:type="dxa"/>
            <w:gridSpan w:val="5"/>
            <w:shd w:val="clear" w:color="auto" w:fill="4472C4" w:themeFill="accent1"/>
          </w:tcPr>
          <w:p w14:paraId="7910B0D2" w14:textId="77777777" w:rsidR="0012746B" w:rsidRDefault="0012746B">
            <w:pPr>
              <w:widowControl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105C511E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</w:rPr>
              <w:t>Konkretisierung des geplante Lehr-Lern-Prozess</w:t>
            </w:r>
          </w:p>
          <w:p w14:paraId="40A0A3DF" w14:textId="77777777" w:rsidR="0012746B" w:rsidRDefault="0012746B">
            <w:pPr>
              <w:widowControl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2746B" w14:paraId="20141E94" w14:textId="77777777" w:rsidTr="00C06A59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4ABC60B0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sz w:val="20"/>
                <w:szCs w:val="20"/>
              </w:rPr>
              <w:t xml:space="preserve">Lehr-Lernschritt </w:t>
            </w:r>
          </w:p>
          <w:p w14:paraId="37D624B8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i/>
                <w:sz w:val="20"/>
                <w:szCs w:val="20"/>
              </w:rPr>
              <w:t>(Phasierung)</w:t>
            </w:r>
          </w:p>
        </w:tc>
        <w:tc>
          <w:tcPr>
            <w:tcW w:w="3112" w:type="dxa"/>
            <w:gridSpan w:val="2"/>
            <w:shd w:val="clear" w:color="auto" w:fill="D9E2F3" w:themeFill="accent1" w:themeFillTint="33"/>
          </w:tcPr>
          <w:p w14:paraId="2D4B6616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4083" w:type="dxa"/>
            <w:shd w:val="clear" w:color="auto" w:fill="D9E2F3" w:themeFill="accent1" w:themeFillTint="33"/>
          </w:tcPr>
          <w:p w14:paraId="40981928" w14:textId="56BD5CFE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sz w:val="20"/>
                <w:szCs w:val="20"/>
              </w:rPr>
              <w:t>Aktivitäten der Ler</w:t>
            </w:r>
            <w:r w:rsidR="00F46776">
              <w:rPr>
                <w:b/>
                <w:i/>
                <w:sz w:val="20"/>
                <w:szCs w:val="20"/>
              </w:rPr>
              <w:t>nenden</w:t>
            </w:r>
          </w:p>
          <w:p w14:paraId="2609F218" w14:textId="77777777" w:rsidR="0012746B" w:rsidRDefault="0012746B">
            <w:pPr>
              <w:widowControl w:val="0"/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66993F09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2746B" w14:paraId="46557FBF" w14:textId="77777777" w:rsidTr="00C06A59">
        <w:trPr>
          <w:jc w:val="center"/>
        </w:trPr>
        <w:tc>
          <w:tcPr>
            <w:tcW w:w="1985" w:type="dxa"/>
            <w:shd w:val="clear" w:color="auto" w:fill="auto"/>
          </w:tcPr>
          <w:p w14:paraId="3EE5D33B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Thema entdecken</w:t>
            </w:r>
          </w:p>
          <w:p w14:paraId="11E55282" w14:textId="03A6D487" w:rsidR="0012746B" w:rsidRDefault="000529A4">
            <w:pPr>
              <w:widowControl w:val="0"/>
              <w:jc w:val="both"/>
            </w:pPr>
            <w:r>
              <w:rPr>
                <w:sz w:val="20"/>
                <w:szCs w:val="20"/>
              </w:rPr>
              <w:t>(5</w:t>
            </w:r>
            <w:r w:rsidR="00F46776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2" w:type="dxa"/>
            <w:gridSpan w:val="2"/>
            <w:shd w:val="clear" w:color="auto" w:fill="auto"/>
          </w:tcPr>
          <w:p w14:paraId="259AF110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Lehrkraft…</w:t>
            </w:r>
          </w:p>
          <w:p w14:paraId="441EB041" w14:textId="0750C135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steuert die Analyse der Zeitungsüberschriften</w:t>
            </w:r>
            <w:r w:rsidR="003A2A7A">
              <w:rPr>
                <w:sz w:val="20"/>
                <w:szCs w:val="20"/>
              </w:rPr>
              <w:t xml:space="preserve"> und fordert </w:t>
            </w:r>
            <w:r w:rsidR="00C06A59">
              <w:rPr>
                <w:sz w:val="20"/>
                <w:szCs w:val="20"/>
              </w:rPr>
              <w:t xml:space="preserve">die </w:t>
            </w:r>
            <w:r w:rsidR="003A2A7A">
              <w:rPr>
                <w:sz w:val="20"/>
                <w:szCs w:val="20"/>
              </w:rPr>
              <w:t>SuS auf, die Kontroverse zu benenne</w:t>
            </w:r>
            <w:r w:rsidR="00C06A59">
              <w:rPr>
                <w:sz w:val="20"/>
                <w:szCs w:val="20"/>
              </w:rPr>
              <w:t>n</w:t>
            </w:r>
            <w:r w:rsidR="003A2A7A">
              <w:rPr>
                <w:sz w:val="20"/>
                <w:szCs w:val="20"/>
              </w:rPr>
              <w:t xml:space="preserve">. </w:t>
            </w:r>
          </w:p>
          <w:p w14:paraId="685C855A" w14:textId="77777777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</w:pPr>
            <w:r>
              <w:rPr>
                <w:sz w:val="20"/>
                <w:szCs w:val="20"/>
              </w:rPr>
              <w:t>„Beschreiben Sie die in den Überschriften abgebildete Kontroverse.“</w:t>
            </w:r>
          </w:p>
          <w:p w14:paraId="5A53F603" w14:textId="65C751E6" w:rsidR="0012746B" w:rsidRPr="00C06A59" w:rsidRDefault="000529A4" w:rsidP="00C06A59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formuliert die Leitfrage: „Bundestag und Bundesrat – funktionale Einheit oder Blockade?“</w:t>
            </w:r>
          </w:p>
        </w:tc>
        <w:tc>
          <w:tcPr>
            <w:tcW w:w="4083" w:type="dxa"/>
            <w:shd w:val="clear" w:color="auto" w:fill="auto"/>
          </w:tcPr>
          <w:p w14:paraId="6211BB30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SuS…</w:t>
            </w:r>
          </w:p>
          <w:p w14:paraId="5D470211" w14:textId="182FF956" w:rsidR="0012746B" w:rsidRDefault="000529A4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sz w:val="20"/>
                <w:szCs w:val="20"/>
              </w:rPr>
              <w:t>entdecken das Thema mithilfe der Zeitungsüberschriften</w:t>
            </w:r>
            <w:r w:rsidR="00F46776">
              <w:rPr>
                <w:sz w:val="20"/>
                <w:szCs w:val="20"/>
              </w:rPr>
              <w:t>.</w:t>
            </w:r>
          </w:p>
          <w:p w14:paraId="08273A05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63E97E3F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0F9D2C14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1BB0B20A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2A9DC583" w14:textId="77777777" w:rsidR="00C06A59" w:rsidRPr="00C06A59" w:rsidRDefault="00C06A59" w:rsidP="00C06A59">
            <w:pPr>
              <w:pStyle w:val="Listenabsatz1"/>
              <w:widowControl w:val="0"/>
              <w:spacing w:line="276" w:lineRule="auto"/>
              <w:ind w:left="315"/>
            </w:pPr>
          </w:p>
          <w:p w14:paraId="64AAFB01" w14:textId="39A55EBB" w:rsidR="0012746B" w:rsidRDefault="000529A4">
            <w:pPr>
              <w:pStyle w:val="Listenabsatz1"/>
              <w:widowControl w:val="0"/>
              <w:numPr>
                <w:ilvl w:val="0"/>
                <w:numId w:val="3"/>
              </w:numPr>
              <w:spacing w:line="276" w:lineRule="auto"/>
              <w:ind w:left="315"/>
            </w:pPr>
            <w:r>
              <w:rPr>
                <w:sz w:val="20"/>
                <w:szCs w:val="20"/>
              </w:rPr>
              <w:t>positionieren sich zur Leitfrage</w:t>
            </w:r>
            <w:r w:rsidR="00F46776">
              <w:rPr>
                <w:sz w:val="20"/>
                <w:szCs w:val="20"/>
              </w:rPr>
              <w:t>.</w:t>
            </w:r>
          </w:p>
        </w:tc>
        <w:tc>
          <w:tcPr>
            <w:tcW w:w="1310" w:type="dxa"/>
            <w:shd w:val="clear" w:color="auto" w:fill="auto"/>
          </w:tcPr>
          <w:p w14:paraId="0E6C393F" w14:textId="77777777" w:rsidR="0012746B" w:rsidRDefault="0012746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8DCDE3B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sz w:val="20"/>
                <w:szCs w:val="20"/>
              </w:rPr>
              <w:t>UG</w:t>
            </w:r>
          </w:p>
          <w:p w14:paraId="7C466E0C" w14:textId="77777777" w:rsidR="0012746B" w:rsidRDefault="000529A4">
            <w:pPr>
              <w:widowControl w:val="0"/>
              <w:spacing w:line="276" w:lineRule="auto"/>
              <w:jc w:val="center"/>
            </w:pPr>
            <w:r>
              <w:rPr>
                <w:sz w:val="20"/>
                <w:szCs w:val="20"/>
              </w:rPr>
              <w:t>(M1)</w:t>
            </w:r>
          </w:p>
          <w:p w14:paraId="34F8C2CA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12746B" w14:paraId="08318879" w14:textId="77777777" w:rsidTr="00C06A59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9129D59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Lernmaterial bearbeiten</w:t>
            </w:r>
            <w:r>
              <w:rPr>
                <w:bCs/>
                <w:sz w:val="20"/>
                <w:szCs w:val="20"/>
              </w:rPr>
              <w:t xml:space="preserve"> I</w:t>
            </w:r>
          </w:p>
          <w:p w14:paraId="3A2B4CCE" w14:textId="0D3F31C0" w:rsidR="0012746B" w:rsidRDefault="000529A4">
            <w:pPr>
              <w:widowControl w:val="0"/>
            </w:pPr>
            <w:r>
              <w:rPr>
                <w:bCs/>
                <w:sz w:val="20"/>
                <w:szCs w:val="20"/>
              </w:rPr>
              <w:t>(40</w:t>
            </w:r>
            <w:r w:rsidR="00F46776">
              <w:rPr>
                <w:bCs/>
                <w:sz w:val="20"/>
                <w:szCs w:val="20"/>
              </w:rPr>
              <w:t>’</w:t>
            </w:r>
            <w:r>
              <w:rPr>
                <w:bCs/>
                <w:sz w:val="20"/>
                <w:szCs w:val="20"/>
              </w:rPr>
              <w:t>)</w:t>
            </w:r>
          </w:p>
          <w:p w14:paraId="2A2E3CC6" w14:textId="77777777" w:rsidR="0012746B" w:rsidRDefault="0012746B">
            <w:pPr>
              <w:widowControl w:val="0"/>
              <w:rPr>
                <w:bCs/>
                <w:sz w:val="20"/>
                <w:szCs w:val="20"/>
              </w:rPr>
            </w:pPr>
          </w:p>
          <w:p w14:paraId="4ADE4BC6" w14:textId="77777777" w:rsidR="0012746B" w:rsidRDefault="0012746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shd w:val="clear" w:color="auto" w:fill="D9E2F3" w:themeFill="accent1" w:themeFillTint="33"/>
          </w:tcPr>
          <w:p w14:paraId="4D0DCE95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Lehrkraft…</w:t>
            </w:r>
          </w:p>
          <w:p w14:paraId="25BB1A4C" w14:textId="01AF0E15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stellt die Aufgabe vor und erläutert die Vorgehensweise</w:t>
            </w:r>
            <w:r w:rsidR="003A2A7A">
              <w:rPr>
                <w:sz w:val="20"/>
                <w:szCs w:val="20"/>
              </w:rPr>
              <w:t xml:space="preserve"> </w:t>
            </w:r>
            <w:r w:rsidR="00C06A59">
              <w:rPr>
                <w:sz w:val="20"/>
                <w:szCs w:val="20"/>
              </w:rPr>
              <w:t>z</w:t>
            </w:r>
            <w:r w:rsidR="003A2A7A" w:rsidRPr="003A2A7A">
              <w:rPr>
                <w:sz w:val="20"/>
                <w:szCs w:val="20"/>
              </w:rPr>
              <w:t>um Vergleich der Zusammenarbeit von Bundestag und Bundesrat“</w:t>
            </w:r>
          </w:p>
          <w:p w14:paraId="15ECAC3B" w14:textId="77777777" w:rsidR="0012746B" w:rsidRDefault="0012746B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</w:p>
          <w:p w14:paraId="33980603" w14:textId="486A105B" w:rsidR="0012746B" w:rsidRDefault="000529A4">
            <w:pPr>
              <w:pStyle w:val="Textkrper-Einzug21"/>
            </w:pPr>
            <w:r>
              <w:t xml:space="preserve">optional ist </w:t>
            </w:r>
            <w:r w:rsidR="005836CA">
              <w:t xml:space="preserve">hier </w:t>
            </w:r>
            <w:r>
              <w:t>eine arbeitsteilige Erarbeitung möglich</w:t>
            </w:r>
          </w:p>
        </w:tc>
        <w:tc>
          <w:tcPr>
            <w:tcW w:w="4083" w:type="dxa"/>
            <w:shd w:val="clear" w:color="auto" w:fill="D9E2F3" w:themeFill="accent1" w:themeFillTint="33"/>
          </w:tcPr>
          <w:p w14:paraId="6A2B6BDE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SuS…</w:t>
            </w:r>
          </w:p>
          <w:p w14:paraId="1ED60821" w14:textId="0ED6B9B3" w:rsidR="0012746B" w:rsidRPr="00057602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>
              <w:rPr>
                <w:sz w:val="20"/>
                <w:szCs w:val="20"/>
              </w:rPr>
              <w:t>bearbeiten eigenständig die Materialien</w:t>
            </w:r>
            <w:r w:rsidR="00F46776">
              <w:rPr>
                <w:sz w:val="20"/>
                <w:szCs w:val="20"/>
              </w:rPr>
              <w:t>.</w:t>
            </w:r>
          </w:p>
          <w:p w14:paraId="1402A3B9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444F997E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  <w:p w14:paraId="3CC053D6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395D0326" w14:textId="77777777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M2</w:t>
            </w:r>
          </w:p>
          <w:p w14:paraId="404E8A71" w14:textId="63E78583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M3 </w:t>
            </w:r>
          </w:p>
          <w:p w14:paraId="2021EF63" w14:textId="1A35E08A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M4 (a,b,c)</w:t>
            </w:r>
          </w:p>
          <w:p w14:paraId="37259F89" w14:textId="77777777" w:rsidR="00057602" w:rsidRDefault="00057602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50E976BD" w14:textId="3507AA80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EA</w:t>
            </w:r>
          </w:p>
          <w:p w14:paraId="0627BE39" w14:textId="77777777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 xml:space="preserve">(GA) </w:t>
            </w:r>
          </w:p>
          <w:p w14:paraId="3DB948FB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  <w:bookmarkStart w:id="0" w:name="_Hlk56359084"/>
            <w:bookmarkEnd w:id="0"/>
          </w:p>
        </w:tc>
      </w:tr>
      <w:tr w:rsidR="0012746B" w:rsidRPr="003E1B80" w14:paraId="0A0F8FA5" w14:textId="77777777" w:rsidTr="00C06A59">
        <w:trPr>
          <w:jc w:val="center"/>
        </w:trPr>
        <w:tc>
          <w:tcPr>
            <w:tcW w:w="1985" w:type="dxa"/>
            <w:shd w:val="clear" w:color="auto" w:fill="auto"/>
          </w:tcPr>
          <w:p w14:paraId="6F4D41C7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Auswertung/ Zwischensicherung</w:t>
            </w:r>
          </w:p>
          <w:p w14:paraId="01E15580" w14:textId="40651408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(15</w:t>
            </w:r>
            <w:r w:rsidR="00F46776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2" w:type="dxa"/>
            <w:gridSpan w:val="2"/>
            <w:shd w:val="clear" w:color="auto" w:fill="auto"/>
          </w:tcPr>
          <w:p w14:paraId="3C99B9AF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Lehrkraft…</w:t>
            </w:r>
          </w:p>
          <w:p w14:paraId="70755287" w14:textId="2F9DC083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leitet die Auswertung der Arbeitsergebnisse</w:t>
            </w:r>
            <w:r w:rsidR="00F46776">
              <w:rPr>
                <w:sz w:val="20"/>
                <w:szCs w:val="20"/>
              </w:rPr>
              <w:t>.</w:t>
            </w:r>
          </w:p>
          <w:p w14:paraId="5FEC01B9" w14:textId="596C6CFB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visualisiert die Arbeitsergebnisse</w:t>
            </w:r>
            <w:r w:rsidR="00F46776">
              <w:rPr>
                <w:sz w:val="20"/>
                <w:szCs w:val="20"/>
              </w:rPr>
              <w:t>.</w:t>
            </w:r>
          </w:p>
          <w:p w14:paraId="7C0AF9A2" w14:textId="77777777" w:rsidR="0012746B" w:rsidRDefault="0012746B">
            <w:pPr>
              <w:widowControl w:val="0"/>
              <w:spacing w:line="276" w:lineRule="auto"/>
              <w:ind w:left="374"/>
              <w:contextualSpacing/>
              <w:rPr>
                <w:sz w:val="20"/>
                <w:szCs w:val="20"/>
              </w:rPr>
            </w:pPr>
          </w:p>
        </w:tc>
        <w:tc>
          <w:tcPr>
            <w:tcW w:w="4083" w:type="dxa"/>
            <w:shd w:val="clear" w:color="auto" w:fill="auto"/>
          </w:tcPr>
          <w:p w14:paraId="1EAB6571" w14:textId="7EF1B331" w:rsidR="00057602" w:rsidRDefault="000529A4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SuS…</w:t>
            </w:r>
          </w:p>
          <w:p w14:paraId="19744C20" w14:textId="23480E21" w:rsidR="00057602" w:rsidRPr="00057602" w:rsidRDefault="00057602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 M3:</w:t>
            </w:r>
          </w:p>
          <w:p w14:paraId="204F9F82" w14:textId="6C0B0CA9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erklären die Bedeutung des Bundesrate</w:t>
            </w:r>
            <w:r w:rsidR="00C06A59">
              <w:rPr>
                <w:sz w:val="20"/>
                <w:szCs w:val="20"/>
              </w:rPr>
              <w:t>s im politischen System der BRD</w:t>
            </w:r>
            <w:r w:rsidR="00057602">
              <w:rPr>
                <w:sz w:val="20"/>
                <w:szCs w:val="20"/>
              </w:rPr>
              <w:t xml:space="preserve"> (M3)</w:t>
            </w:r>
            <w:r w:rsidR="00F46776">
              <w:rPr>
                <w:sz w:val="20"/>
                <w:szCs w:val="20"/>
              </w:rPr>
              <w:t>.</w:t>
            </w:r>
          </w:p>
          <w:p w14:paraId="29A7148C" w14:textId="5F65EE7C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beschreiben die Zusammensetzung und die Praxis der Stimmabgabe des Bundesrates</w:t>
            </w:r>
            <w:r w:rsidR="00F46776">
              <w:rPr>
                <w:sz w:val="20"/>
                <w:szCs w:val="20"/>
              </w:rPr>
              <w:t>.</w:t>
            </w:r>
          </w:p>
          <w:p w14:paraId="09CBFBEE" w14:textId="31CFCADF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benennen die Aufgaben bzw. Mitbestim</w:t>
            </w:r>
            <w:r>
              <w:rPr>
                <w:sz w:val="20"/>
                <w:szCs w:val="20"/>
              </w:rPr>
              <w:lastRenderedPageBreak/>
              <w:t>mungsrechte des Bundesrates im Zusammensp</w:t>
            </w:r>
            <w:r w:rsidR="00C06A59">
              <w:rPr>
                <w:sz w:val="20"/>
                <w:szCs w:val="20"/>
              </w:rPr>
              <w:t>iel mit dem Deutschen Bundestag</w:t>
            </w:r>
            <w:r w:rsidR="005836CA">
              <w:rPr>
                <w:sz w:val="20"/>
                <w:szCs w:val="20"/>
              </w:rPr>
              <w:t>.</w:t>
            </w:r>
          </w:p>
          <w:p w14:paraId="718C8E5C" w14:textId="77777777" w:rsidR="0012746B" w:rsidRDefault="0012746B">
            <w:pPr>
              <w:widowControl w:val="0"/>
              <w:spacing w:line="276" w:lineRule="auto"/>
              <w:ind w:left="315"/>
              <w:contextualSpacing/>
              <w:jc w:val="both"/>
              <w:rPr>
                <w:sz w:val="20"/>
                <w:szCs w:val="20"/>
              </w:rPr>
            </w:pPr>
          </w:p>
          <w:p w14:paraId="383E4267" w14:textId="291906E9" w:rsidR="0012746B" w:rsidRDefault="00057602">
            <w:pPr>
              <w:widowControl w:val="0"/>
              <w:spacing w:line="276" w:lineRule="auto"/>
              <w:ind w:left="31"/>
              <w:contextualSpacing/>
              <w:jc w:val="both"/>
            </w:pPr>
            <w:r>
              <w:rPr>
                <w:sz w:val="20"/>
                <w:szCs w:val="20"/>
              </w:rPr>
              <w:t xml:space="preserve">zu </w:t>
            </w:r>
            <w:r w:rsidR="00C06A59">
              <w:rPr>
                <w:sz w:val="20"/>
                <w:szCs w:val="20"/>
              </w:rPr>
              <w:t>M4</w:t>
            </w:r>
            <w:r>
              <w:rPr>
                <w:sz w:val="20"/>
                <w:szCs w:val="20"/>
              </w:rPr>
              <w:t>:</w:t>
            </w:r>
            <w:r w:rsidR="00C06A59">
              <w:rPr>
                <w:sz w:val="20"/>
                <w:szCs w:val="20"/>
              </w:rPr>
              <w:t xml:space="preserve"> </w:t>
            </w:r>
          </w:p>
          <w:p w14:paraId="04845004" w14:textId="67591420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erklären den Unterschied von Zustimmungs- und Einspruchsgesetzen</w:t>
            </w:r>
            <w:r w:rsidR="00F46776">
              <w:rPr>
                <w:sz w:val="20"/>
                <w:szCs w:val="20"/>
              </w:rPr>
              <w:t>.</w:t>
            </w:r>
          </w:p>
          <w:p w14:paraId="62FE5489" w14:textId="6E43CDC8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beschreiben und analysieren die Tabelle zur „Stimmverteilung im Bundesrat zur Zeit der Regierung Schröder (1998–2005)“</w:t>
            </w:r>
            <w:r w:rsidR="005836CA">
              <w:rPr>
                <w:sz w:val="20"/>
                <w:szCs w:val="20"/>
              </w:rPr>
              <w:t>.</w:t>
            </w:r>
          </w:p>
          <w:p w14:paraId="51FDF69E" w14:textId="65437129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  <w:jc w:val="both"/>
            </w:pPr>
            <w:r>
              <w:rPr>
                <w:sz w:val="20"/>
                <w:szCs w:val="20"/>
              </w:rPr>
              <w:t>erklären, welche Auswirkungen die Änderung der Machtverhältnisse im Bundesrat für die Bundesregieru</w:t>
            </w:r>
            <w:r w:rsidR="00C06A59">
              <w:rPr>
                <w:sz w:val="20"/>
                <w:szCs w:val="20"/>
              </w:rPr>
              <w:t>ng unter Kanzler Schröder hatte</w:t>
            </w:r>
            <w:r w:rsidR="00F46776">
              <w:rPr>
                <w:sz w:val="20"/>
                <w:szCs w:val="20"/>
              </w:rPr>
              <w:t>.</w:t>
            </w:r>
          </w:p>
          <w:p w14:paraId="48C82630" w14:textId="3E4B56E0" w:rsidR="0012746B" w:rsidRPr="00057602" w:rsidRDefault="000529A4" w:rsidP="005836CA">
            <w:pPr>
              <w:widowControl w:val="0"/>
              <w:numPr>
                <w:ilvl w:val="0"/>
                <w:numId w:val="4"/>
              </w:numPr>
              <w:spacing w:line="276" w:lineRule="auto"/>
              <w:ind w:left="315"/>
              <w:contextualSpacing/>
            </w:pPr>
            <w:r>
              <w:rPr>
                <w:sz w:val="20"/>
                <w:szCs w:val="20"/>
              </w:rPr>
              <w:t xml:space="preserve">erläutern Argumente </w:t>
            </w:r>
            <w:r w:rsidR="006F5640">
              <w:rPr>
                <w:sz w:val="20"/>
                <w:szCs w:val="20"/>
              </w:rPr>
              <w:t>der</w:t>
            </w:r>
            <w:r w:rsidR="003E1B8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des</w:t>
            </w:r>
            <w:r w:rsidR="005836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Autor</w:t>
            </w:r>
            <w:r w:rsidR="006F5640">
              <w:rPr>
                <w:sz w:val="20"/>
                <w:szCs w:val="20"/>
              </w:rPr>
              <w:t>in</w:t>
            </w:r>
            <w:r w:rsidR="003E1B80">
              <w:rPr>
                <w:sz w:val="20"/>
                <w:szCs w:val="20"/>
              </w:rPr>
              <w:t>/</w:t>
            </w:r>
            <w:r w:rsidR="006F5640">
              <w:rPr>
                <w:sz w:val="20"/>
                <w:szCs w:val="20"/>
              </w:rPr>
              <w:t>Autor</w:t>
            </w:r>
            <w:r>
              <w:rPr>
                <w:sz w:val="20"/>
                <w:szCs w:val="20"/>
              </w:rPr>
              <w:t>s, die für eine Abschaffung des Bundesrates plädieren</w:t>
            </w:r>
            <w:r w:rsidR="00F46776">
              <w:rPr>
                <w:sz w:val="20"/>
                <w:szCs w:val="20"/>
              </w:rPr>
              <w:t>.</w:t>
            </w:r>
          </w:p>
          <w:p w14:paraId="16EAE5FD" w14:textId="3535B651" w:rsidR="00057602" w:rsidRPr="00057602" w:rsidRDefault="00057602" w:rsidP="00057602">
            <w:pPr>
              <w:widowControl w:val="0"/>
              <w:spacing w:line="276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4C85E58A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47C3B5AD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3A1D7FD2" w14:textId="77777777" w:rsidR="0012746B" w:rsidRPr="00843702" w:rsidRDefault="000529A4">
            <w:pPr>
              <w:widowControl w:val="0"/>
              <w:jc w:val="center"/>
              <w:rPr>
                <w:lang w:val="en-US"/>
              </w:rPr>
            </w:pPr>
            <w:r w:rsidRPr="00843702">
              <w:rPr>
                <w:sz w:val="20"/>
                <w:szCs w:val="20"/>
                <w:lang w:val="en-US"/>
              </w:rPr>
              <w:t>UG</w:t>
            </w:r>
          </w:p>
          <w:p w14:paraId="18BD6A31" w14:textId="77777777" w:rsidR="0012746B" w:rsidRPr="00843702" w:rsidRDefault="000529A4">
            <w:pPr>
              <w:widowControl w:val="0"/>
              <w:jc w:val="center"/>
              <w:rPr>
                <w:lang w:val="en-US"/>
              </w:rPr>
            </w:pPr>
            <w:r w:rsidRPr="00843702">
              <w:rPr>
                <w:sz w:val="20"/>
                <w:szCs w:val="20"/>
                <w:lang w:val="en-US"/>
              </w:rPr>
              <w:t>Smart-Board</w:t>
            </w:r>
          </w:p>
          <w:p w14:paraId="359F978B" w14:textId="77777777" w:rsidR="0012746B" w:rsidRPr="00843702" w:rsidRDefault="000529A4">
            <w:pPr>
              <w:widowControl w:val="0"/>
              <w:jc w:val="center"/>
              <w:rPr>
                <w:lang w:val="en-US"/>
              </w:rPr>
            </w:pPr>
            <w:r w:rsidRPr="00843702">
              <w:rPr>
                <w:sz w:val="20"/>
                <w:szCs w:val="20"/>
                <w:lang w:val="en-US"/>
              </w:rPr>
              <w:t>White Board</w:t>
            </w:r>
          </w:p>
          <w:p w14:paraId="46857CBF" w14:textId="77777777" w:rsidR="0012746B" w:rsidRPr="00843702" w:rsidRDefault="000529A4">
            <w:pPr>
              <w:widowControl w:val="0"/>
              <w:jc w:val="center"/>
              <w:rPr>
                <w:lang w:val="en-US"/>
              </w:rPr>
            </w:pPr>
            <w:r w:rsidRPr="00843702">
              <w:rPr>
                <w:sz w:val="20"/>
                <w:szCs w:val="20"/>
                <w:lang w:val="en-US"/>
              </w:rPr>
              <w:t>Flip-Chart</w:t>
            </w:r>
          </w:p>
        </w:tc>
      </w:tr>
      <w:tr w:rsidR="0012746B" w14:paraId="0897C0D6" w14:textId="77777777" w:rsidTr="00C06A59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120661C5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Lernmaterial bearbeiten</w:t>
            </w:r>
            <w:r>
              <w:rPr>
                <w:bCs/>
                <w:sz w:val="20"/>
                <w:szCs w:val="20"/>
              </w:rPr>
              <w:t xml:space="preserve"> II</w:t>
            </w:r>
          </w:p>
          <w:p w14:paraId="19E17838" w14:textId="603E6456" w:rsidR="0012746B" w:rsidRDefault="000529A4">
            <w:pPr>
              <w:widowControl w:val="0"/>
            </w:pPr>
            <w:r>
              <w:rPr>
                <w:bCs/>
                <w:sz w:val="20"/>
                <w:szCs w:val="20"/>
              </w:rPr>
              <w:t>(15</w:t>
            </w:r>
            <w:r w:rsidR="00F46776">
              <w:rPr>
                <w:bCs/>
                <w:sz w:val="20"/>
                <w:szCs w:val="20"/>
              </w:rPr>
              <w:t>’</w:t>
            </w:r>
            <w:r>
              <w:rPr>
                <w:bCs/>
                <w:sz w:val="20"/>
                <w:szCs w:val="20"/>
              </w:rPr>
              <w:t>)</w:t>
            </w:r>
          </w:p>
          <w:p w14:paraId="79CDB1EA" w14:textId="77777777" w:rsidR="0012746B" w:rsidRDefault="0012746B">
            <w:pPr>
              <w:widowControl w:val="0"/>
              <w:rPr>
                <w:bCs/>
                <w:sz w:val="20"/>
                <w:szCs w:val="20"/>
              </w:rPr>
            </w:pPr>
          </w:p>
          <w:p w14:paraId="632F5957" w14:textId="77777777" w:rsidR="0012746B" w:rsidRDefault="0012746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shd w:val="clear" w:color="auto" w:fill="D9E2F3" w:themeFill="accent1" w:themeFillTint="33"/>
          </w:tcPr>
          <w:p w14:paraId="2A8337D9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Lehrkraft…</w:t>
            </w:r>
          </w:p>
          <w:p w14:paraId="77BEA5CF" w14:textId="6D1DEE76" w:rsidR="003A2A7A" w:rsidRDefault="000529A4" w:rsidP="003A2A7A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stellt die Aufgabe vor und erläutert die Vorgehensweise</w:t>
            </w:r>
            <w:r w:rsidR="005836CA">
              <w:rPr>
                <w:sz w:val="20"/>
                <w:szCs w:val="20"/>
              </w:rPr>
              <w:t>.</w:t>
            </w:r>
          </w:p>
          <w:p w14:paraId="6B852273" w14:textId="30522299" w:rsidR="0012746B" w:rsidRDefault="003A2A7A" w:rsidP="003A2A7A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 w:rsidRPr="003A2A7A">
              <w:rPr>
                <w:sz w:val="20"/>
                <w:szCs w:val="20"/>
              </w:rPr>
              <w:t xml:space="preserve">fordert die SuS zur Bewertung anhand der Kriterien „funktionale Einheit“ und „Blockade“ sowie zu einem abschließenden Urteil </w:t>
            </w:r>
            <w:r w:rsidR="00C06A59">
              <w:rPr>
                <w:sz w:val="20"/>
                <w:szCs w:val="20"/>
              </w:rPr>
              <w:t>auf</w:t>
            </w:r>
            <w:r w:rsidR="005836CA">
              <w:rPr>
                <w:sz w:val="20"/>
                <w:szCs w:val="20"/>
              </w:rPr>
              <w:t>.</w:t>
            </w:r>
          </w:p>
        </w:tc>
        <w:tc>
          <w:tcPr>
            <w:tcW w:w="4083" w:type="dxa"/>
            <w:shd w:val="clear" w:color="auto" w:fill="D9E2F3" w:themeFill="accent1" w:themeFillTint="33"/>
          </w:tcPr>
          <w:p w14:paraId="6D878771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SuS…</w:t>
            </w:r>
          </w:p>
          <w:p w14:paraId="0363E906" w14:textId="3A3A6413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>
              <w:rPr>
                <w:sz w:val="20"/>
                <w:szCs w:val="20"/>
              </w:rPr>
              <w:t>bearbeiten eigenständig die Materialien</w:t>
            </w:r>
            <w:r w:rsidR="005836CA">
              <w:rPr>
                <w:sz w:val="20"/>
                <w:szCs w:val="20"/>
              </w:rPr>
              <w:t>.</w:t>
            </w:r>
          </w:p>
          <w:p w14:paraId="2AEF3F1B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3754C3EE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49ED4220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3F71E7FA" w14:textId="77777777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M5</w:t>
            </w:r>
          </w:p>
          <w:p w14:paraId="0FDD2795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32444231" w14:textId="77777777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EA</w:t>
            </w:r>
          </w:p>
          <w:p w14:paraId="7FAC1B14" w14:textId="77777777" w:rsidR="0012746B" w:rsidRDefault="0012746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12746B" w14:paraId="67778277" w14:textId="77777777" w:rsidTr="00C06A59">
        <w:trPr>
          <w:jc w:val="center"/>
        </w:trPr>
        <w:tc>
          <w:tcPr>
            <w:tcW w:w="1985" w:type="dxa"/>
            <w:shd w:val="clear" w:color="auto" w:fill="auto"/>
          </w:tcPr>
          <w:p w14:paraId="40CD7AE1" w14:textId="7777777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Lernzugewinn definieren und Urteilen</w:t>
            </w:r>
          </w:p>
          <w:p w14:paraId="25EFD8DD" w14:textId="6A2DBDF7" w:rsidR="0012746B" w:rsidRDefault="000529A4">
            <w:pPr>
              <w:widowControl w:val="0"/>
            </w:pPr>
            <w:r>
              <w:rPr>
                <w:sz w:val="20"/>
                <w:szCs w:val="20"/>
              </w:rPr>
              <w:t>(15</w:t>
            </w:r>
            <w:r w:rsidR="00F46776">
              <w:rPr>
                <w:sz w:val="20"/>
                <w:szCs w:val="20"/>
              </w:rPr>
              <w:t>‘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112" w:type="dxa"/>
            <w:gridSpan w:val="2"/>
            <w:shd w:val="clear" w:color="auto" w:fill="auto"/>
          </w:tcPr>
          <w:p w14:paraId="7D5F68ED" w14:textId="77777777" w:rsidR="0012746B" w:rsidRDefault="000529A4">
            <w:pPr>
              <w:widowControl w:val="0"/>
              <w:spacing w:line="276" w:lineRule="auto"/>
            </w:pPr>
            <w:r>
              <w:rPr>
                <w:sz w:val="20"/>
                <w:szCs w:val="20"/>
              </w:rPr>
              <w:t>Die Lehrkraft…</w:t>
            </w:r>
          </w:p>
          <w:p w14:paraId="504959B6" w14:textId="2DA4D986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 xml:space="preserve">initiiert </w:t>
            </w:r>
            <w:r w:rsidR="00C06A59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>Diskussion an der Streitlinie</w:t>
            </w:r>
            <w:r w:rsidR="00F46776">
              <w:rPr>
                <w:sz w:val="20"/>
                <w:szCs w:val="20"/>
              </w:rPr>
              <w:t>.</w:t>
            </w:r>
          </w:p>
          <w:p w14:paraId="290380A6" w14:textId="0C86E250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>fordert die SuS auf, zur Themenfrage begründet Stellung zu beziehen</w:t>
            </w:r>
            <w:r w:rsidR="00F46776">
              <w:rPr>
                <w:sz w:val="20"/>
                <w:szCs w:val="20"/>
              </w:rPr>
              <w:t>.</w:t>
            </w:r>
          </w:p>
          <w:p w14:paraId="066B1881" w14:textId="77DDA16E" w:rsidR="0012746B" w:rsidRDefault="000529A4">
            <w:pPr>
              <w:widowControl w:val="0"/>
              <w:numPr>
                <w:ilvl w:val="0"/>
                <w:numId w:val="2"/>
              </w:numPr>
              <w:spacing w:line="276" w:lineRule="auto"/>
              <w:ind w:left="374"/>
              <w:contextualSpacing/>
            </w:pPr>
            <w:r>
              <w:rPr>
                <w:sz w:val="20"/>
                <w:szCs w:val="20"/>
              </w:rPr>
              <w:t xml:space="preserve">initiiert </w:t>
            </w:r>
            <w:r w:rsidR="00C06A59">
              <w:rPr>
                <w:sz w:val="20"/>
                <w:szCs w:val="20"/>
              </w:rPr>
              <w:t xml:space="preserve">den </w:t>
            </w:r>
            <w:r>
              <w:rPr>
                <w:sz w:val="20"/>
                <w:szCs w:val="20"/>
              </w:rPr>
              <w:t>Vergleich mit den</w:t>
            </w:r>
            <w:r w:rsidR="00C06A59">
              <w:rPr>
                <w:sz w:val="20"/>
                <w:szCs w:val="20"/>
              </w:rPr>
              <w:t xml:space="preserve"> eingangs formulierten Vor</w:t>
            </w:r>
            <w:r>
              <w:rPr>
                <w:sz w:val="20"/>
                <w:szCs w:val="20"/>
              </w:rPr>
              <w:t>urteilen</w:t>
            </w:r>
            <w:r w:rsidR="00F46776">
              <w:rPr>
                <w:sz w:val="20"/>
                <w:szCs w:val="20"/>
              </w:rPr>
              <w:t>.</w:t>
            </w:r>
          </w:p>
        </w:tc>
        <w:tc>
          <w:tcPr>
            <w:tcW w:w="4083" w:type="dxa"/>
            <w:shd w:val="clear" w:color="auto" w:fill="auto"/>
          </w:tcPr>
          <w:p w14:paraId="5597C92E" w14:textId="77777777" w:rsidR="0012746B" w:rsidRDefault="000529A4">
            <w:pPr>
              <w:widowControl w:val="0"/>
              <w:spacing w:line="276" w:lineRule="auto"/>
              <w:jc w:val="both"/>
            </w:pPr>
            <w:r>
              <w:rPr>
                <w:sz w:val="20"/>
                <w:szCs w:val="20"/>
              </w:rPr>
              <w:t>Die SuS…</w:t>
            </w:r>
          </w:p>
          <w:p w14:paraId="3B0DCC04" w14:textId="2839C7F1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7"/>
              <w:contextualSpacing/>
              <w:jc w:val="both"/>
            </w:pPr>
            <w:r>
              <w:rPr>
                <w:sz w:val="20"/>
                <w:szCs w:val="20"/>
              </w:rPr>
              <w:t>positionieren sich an der Streitlinie</w:t>
            </w:r>
            <w:r w:rsidR="00F46776">
              <w:rPr>
                <w:sz w:val="20"/>
                <w:szCs w:val="20"/>
              </w:rPr>
              <w:t>.</w:t>
            </w:r>
          </w:p>
          <w:p w14:paraId="1B589B49" w14:textId="77777777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7"/>
              <w:contextualSpacing/>
              <w:jc w:val="both"/>
            </w:pPr>
            <w:r>
              <w:rPr>
                <w:sz w:val="20"/>
                <w:szCs w:val="20"/>
              </w:rPr>
              <w:t>diskutieren die Frage: „Bundestag und Bundesrat – funktionale Einheit oder Blockade?“</w:t>
            </w:r>
          </w:p>
          <w:p w14:paraId="3149ED3A" w14:textId="4BB82F5C" w:rsidR="0012746B" w:rsidRDefault="000529A4">
            <w:pPr>
              <w:widowControl w:val="0"/>
              <w:numPr>
                <w:ilvl w:val="0"/>
                <w:numId w:val="4"/>
              </w:numPr>
              <w:spacing w:line="276" w:lineRule="auto"/>
              <w:ind w:left="317"/>
              <w:contextualSpacing/>
              <w:jc w:val="both"/>
            </w:pPr>
            <w:r>
              <w:rPr>
                <w:sz w:val="20"/>
                <w:szCs w:val="20"/>
              </w:rPr>
              <w:t>vergleichen ihre zum Anfang formulierten Vorstellungen mit den Arbeitsergebnissen</w:t>
            </w:r>
            <w:r w:rsidR="00F46776">
              <w:rPr>
                <w:sz w:val="20"/>
                <w:szCs w:val="20"/>
              </w:rPr>
              <w:t>.</w:t>
            </w:r>
          </w:p>
          <w:p w14:paraId="7C1E9C43" w14:textId="47331E74" w:rsidR="0012746B" w:rsidRDefault="00C06A59">
            <w:pPr>
              <w:widowControl w:val="0"/>
              <w:numPr>
                <w:ilvl w:val="0"/>
                <w:numId w:val="4"/>
              </w:numPr>
              <w:spacing w:line="276" w:lineRule="auto"/>
              <w:ind w:left="317"/>
              <w:contextualSpacing/>
              <w:jc w:val="both"/>
            </w:pPr>
            <w:r>
              <w:rPr>
                <w:sz w:val="20"/>
                <w:szCs w:val="20"/>
              </w:rPr>
              <w:t>äußern eig</w:t>
            </w:r>
            <w:r w:rsidR="000529A4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>e</w:t>
            </w:r>
            <w:r w:rsidR="000529A4">
              <w:rPr>
                <w:sz w:val="20"/>
                <w:szCs w:val="20"/>
              </w:rPr>
              <w:t xml:space="preserve"> Vorstellungen zu den Diskussionsfragen.</w:t>
            </w:r>
          </w:p>
          <w:p w14:paraId="3D5DC082" w14:textId="77777777" w:rsidR="0012746B" w:rsidRDefault="0012746B">
            <w:pPr>
              <w:widowControl w:val="0"/>
              <w:spacing w:line="276" w:lineRule="auto"/>
              <w:ind w:left="317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50AF12F8" w14:textId="77777777" w:rsidR="0012746B" w:rsidRDefault="000529A4">
            <w:pPr>
              <w:widowControl w:val="0"/>
              <w:jc w:val="center"/>
            </w:pPr>
            <w:r>
              <w:rPr>
                <w:sz w:val="20"/>
                <w:szCs w:val="20"/>
              </w:rPr>
              <w:t>UG</w:t>
            </w:r>
          </w:p>
        </w:tc>
      </w:tr>
    </w:tbl>
    <w:p w14:paraId="6ED50F48" w14:textId="77777777" w:rsidR="0012746B" w:rsidRDefault="0012746B"/>
    <w:p w14:paraId="7EB82740" w14:textId="77777777" w:rsidR="0012746B" w:rsidRDefault="0012746B"/>
    <w:sectPr w:rsidR="00127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49" w:bottom="568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AC4A0" w14:textId="77777777" w:rsidR="00700BF7" w:rsidRDefault="00700BF7" w:rsidP="00EA56B6">
      <w:r>
        <w:separator/>
      </w:r>
    </w:p>
  </w:endnote>
  <w:endnote w:type="continuationSeparator" w:id="0">
    <w:p w14:paraId="279EA4B0" w14:textId="77777777" w:rsidR="00700BF7" w:rsidRDefault="00700BF7" w:rsidP="00EA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3653" w14:textId="77777777" w:rsidR="001303A4" w:rsidRDefault="001303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9FC98" w14:textId="77777777" w:rsidR="001303A4" w:rsidRDefault="001303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54B06" w14:textId="77777777" w:rsidR="001303A4" w:rsidRDefault="001303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5D679" w14:textId="77777777" w:rsidR="00700BF7" w:rsidRDefault="00700BF7" w:rsidP="00EA56B6">
      <w:r>
        <w:separator/>
      </w:r>
    </w:p>
  </w:footnote>
  <w:footnote w:type="continuationSeparator" w:id="0">
    <w:p w14:paraId="3EF83C7A" w14:textId="77777777" w:rsidR="00700BF7" w:rsidRDefault="00700BF7" w:rsidP="00EA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31C05" w14:textId="77777777" w:rsidR="00F46776" w:rsidRDefault="00F4677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1FE1" w14:textId="28CBADA5" w:rsidR="004C2099" w:rsidRPr="00C06A59" w:rsidRDefault="004C2099">
    <w:pPr>
      <w:pStyle w:val="Kopfzeile"/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</w:pPr>
    <w:r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70528" behindDoc="0" locked="0" layoutInCell="1" allowOverlap="1" wp14:anchorId="0747B33D" wp14:editId="64B3DCFC">
          <wp:simplePos x="0" y="0"/>
          <wp:positionH relativeFrom="column">
            <wp:posOffset>5034915</wp:posOffset>
          </wp:positionH>
          <wp:positionV relativeFrom="paragraph">
            <wp:posOffset>-238760</wp:posOffset>
          </wp:positionV>
          <wp:extent cx="1031240" cy="427355"/>
          <wp:effectExtent l="0" t="0" r="10160" b="4445"/>
          <wp:wrapSquare wrapText="bothSides"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iorwahl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1240" cy="427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1ACC">
      <w:rPr>
        <w:rFonts w:ascii="Arial Unicode MS" w:eastAsia="Arial Unicode MS" w:hAnsi="Arial Unicode MS" w:cs="Arial Unicode MS"/>
        <w:b/>
      </w:rPr>
      <w:t>Vorschlag zur Verlaufsplanung</w:t>
    </w:r>
    <w:r w:rsidRPr="00C06A59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- Modul 2 - Vertiefung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0198F" w14:textId="77777777" w:rsidR="00F46776" w:rsidRDefault="00F4677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1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5169008">
    <w:abstractNumId w:val="0"/>
  </w:num>
  <w:num w:numId="2" w16cid:durableId="198206983">
    <w:abstractNumId w:val="1"/>
  </w:num>
  <w:num w:numId="3" w16cid:durableId="610087724">
    <w:abstractNumId w:val="2"/>
  </w:num>
  <w:num w:numId="4" w16cid:durableId="149294043">
    <w:abstractNumId w:val="3"/>
  </w:num>
  <w:num w:numId="5" w16cid:durableId="794952562">
    <w:abstractNumId w:val="4"/>
  </w:num>
  <w:num w:numId="6" w16cid:durableId="720519715">
    <w:abstractNumId w:val="5"/>
  </w:num>
  <w:num w:numId="7" w16cid:durableId="2052459482">
    <w:abstractNumId w:val="6"/>
  </w:num>
  <w:num w:numId="8" w16cid:durableId="1523326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A7A"/>
    <w:rsid w:val="000529A4"/>
    <w:rsid w:val="00057602"/>
    <w:rsid w:val="0012746B"/>
    <w:rsid w:val="001303A4"/>
    <w:rsid w:val="001F61D5"/>
    <w:rsid w:val="002F3B77"/>
    <w:rsid w:val="0037246C"/>
    <w:rsid w:val="003A2A7A"/>
    <w:rsid w:val="003E1B80"/>
    <w:rsid w:val="004C2099"/>
    <w:rsid w:val="005476C8"/>
    <w:rsid w:val="00564A02"/>
    <w:rsid w:val="005836CA"/>
    <w:rsid w:val="00622C23"/>
    <w:rsid w:val="006F5640"/>
    <w:rsid w:val="00700BF7"/>
    <w:rsid w:val="00843702"/>
    <w:rsid w:val="009E460E"/>
    <w:rsid w:val="00A14C17"/>
    <w:rsid w:val="00B12BD5"/>
    <w:rsid w:val="00C06A59"/>
    <w:rsid w:val="00C903D2"/>
    <w:rsid w:val="00D220F7"/>
    <w:rsid w:val="00E51ACC"/>
    <w:rsid w:val="00EA56B6"/>
    <w:rsid w:val="00EF6F70"/>
    <w:rsid w:val="00F4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C980F51"/>
  <w15:docId w15:val="{A5CE58E3-E654-684F-9839-AA5A4EC7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hAnsi="Calibri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80" w:after="280"/>
      <w:outlineLvl w:val="0"/>
    </w:pPr>
    <w:rPr>
      <w:rFonts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Britannic Bold" w:hAnsi="Britannic Bold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styleId="Hyperlink">
    <w:name w:val="Hyperlink"/>
    <w:basedOn w:val="Absatz-Standardschriftart1"/>
    <w:rPr>
      <w:color w:val="0563C1"/>
      <w:u w:val="single"/>
    </w:rPr>
  </w:style>
  <w:style w:type="character" w:customStyle="1" w:styleId="NichtaufgelsteErwhnung1">
    <w:name w:val="Nicht aufgelöste Erwähnung1"/>
    <w:basedOn w:val="Absatz-Standardschriftart1"/>
    <w:rPr>
      <w:color w:val="808080"/>
      <w:shd w:val="clear" w:color="auto" w:fill="E6E6E6"/>
    </w:rPr>
  </w:style>
  <w:style w:type="character" w:customStyle="1" w:styleId="SprechblasentextZchn">
    <w:name w:val="Sprechblasentext Zchn"/>
    <w:basedOn w:val="Absatz-Standardschriftart1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TextkrperZchn">
    <w:name w:val="Textkörper Zchn"/>
    <w:basedOn w:val="Absatz-Standardschriftart1"/>
    <w:rPr>
      <w:rFonts w:eastAsia="Times New Roman" w:cs="Calibri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1"/>
    <w:rPr>
      <w:rFonts w:eastAsia="Times New Roman" w:cs="Calibr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1"/>
    <w:rPr>
      <w:rFonts w:ascii="Calibri" w:eastAsia="Times New Roman" w:hAnsi="Calibri" w:cs="Times New Roman"/>
      <w:b/>
      <w:b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1"/>
    <w:rPr>
      <w:rFonts w:ascii="Calibri" w:eastAsia="Times New Roman" w:hAnsi="Calibri" w:cs="Times New Roman"/>
      <w:sz w:val="32"/>
      <w:szCs w:val="32"/>
      <w:lang w:eastAsia="de-DE"/>
    </w:rPr>
  </w:style>
  <w:style w:type="character" w:customStyle="1" w:styleId="Textkrper-ZeileneinzugZchn">
    <w:name w:val="Textkörper-Zeileneinzug Zchn"/>
    <w:basedOn w:val="Absatz-Standardschriftart1"/>
    <w:rPr>
      <w:rFonts w:ascii="Calibri" w:eastAsia="Times New Roman" w:hAnsi="Calibri" w:cs="Times New Roman"/>
      <w:sz w:val="28"/>
      <w:szCs w:val="28"/>
      <w:lang w:eastAsia="de-DE"/>
    </w:rPr>
  </w:style>
  <w:style w:type="character" w:customStyle="1" w:styleId="Textkrper2Zchn">
    <w:name w:val="Textkörper 2 Zchn"/>
    <w:basedOn w:val="Absatz-Standardschriftart1"/>
    <w:rPr>
      <w:rFonts w:ascii="Calibri" w:eastAsia="Times New Roman" w:hAnsi="Calibri" w:cs="Times New Roman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1"/>
    <w:rPr>
      <w:rFonts w:ascii="Calibri" w:eastAsia="Times New Roman" w:hAnsi="Calibri" w:cs="Times New Roman"/>
      <w:b/>
      <w:bCs/>
      <w:sz w:val="32"/>
      <w:szCs w:val="32"/>
      <w:lang w:eastAsia="de-DE"/>
    </w:rPr>
  </w:style>
  <w:style w:type="character" w:customStyle="1" w:styleId="Textkrper3Zchn">
    <w:name w:val="Textkörper 3 Zchn"/>
    <w:basedOn w:val="Absatz-Standardschriftart1"/>
    <w:rPr>
      <w:rFonts w:ascii="Calibri" w:eastAsia="Times New Roman" w:hAnsi="Calibri" w:cs="Times New Roman"/>
      <w:sz w:val="36"/>
      <w:szCs w:val="36"/>
      <w:lang w:eastAsia="de-DE"/>
    </w:rPr>
  </w:style>
  <w:style w:type="character" w:customStyle="1" w:styleId="berschrift5Zchn">
    <w:name w:val="Überschrift 5 Zchn"/>
    <w:basedOn w:val="Absatz-Standardschriftart1"/>
    <w:rPr>
      <w:rFonts w:ascii="Britannic Bold" w:eastAsia="Times New Roman" w:hAnsi="Britannic Bold" w:cs="Times New Roman"/>
      <w:sz w:val="40"/>
      <w:szCs w:val="40"/>
      <w:lang w:eastAsia="de-DE"/>
    </w:rPr>
  </w:style>
  <w:style w:type="character" w:customStyle="1" w:styleId="Textkrper-Einzug2Zchn">
    <w:name w:val="Textkörper-Einzug 2 Zchn"/>
    <w:basedOn w:val="Absatz-Standardschriftart1"/>
    <w:rPr>
      <w:rFonts w:ascii="Calibri" w:eastAsia="Times New Roman" w:hAnsi="Calibri" w:cs="Times New Roman"/>
      <w:i/>
      <w:iCs/>
      <w:sz w:val="20"/>
      <w:szCs w:val="20"/>
      <w:lang w:eastAsia="de-DE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sz w:val="20"/>
    </w:rPr>
  </w:style>
  <w:style w:type="character" w:customStyle="1" w:styleId="ListLabel12">
    <w:name w:val="ListLabel 12"/>
    <w:rPr>
      <w:sz w:val="20"/>
    </w:rPr>
  </w:style>
  <w:style w:type="character" w:customStyle="1" w:styleId="ListLabel13">
    <w:name w:val="ListLabel 13"/>
    <w:rPr>
      <w:sz w:val="20"/>
    </w:rPr>
  </w:style>
  <w:style w:type="character" w:customStyle="1" w:styleId="ListLabel14">
    <w:name w:val="ListLabel 14"/>
    <w:rPr>
      <w:sz w:val="20"/>
    </w:rPr>
  </w:style>
  <w:style w:type="character" w:customStyle="1" w:styleId="ListLabel15">
    <w:name w:val="ListLabel 15"/>
    <w:rPr>
      <w:sz w:val="20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sz w:val="20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eastAsia="Times New Roman" w:cs="Times New Roman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before="280" w:after="280"/>
    </w:pPr>
    <w:rPr>
      <w:rFonts w:cs="Calibri"/>
    </w:r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customStyle="1" w:styleId="Sprechblasentext1">
    <w:name w:val="Sprechblasentext1"/>
    <w:basedOn w:val="Standard"/>
    <w:rPr>
      <w:rFonts w:ascii="Segoe UI" w:hAnsi="Segoe UI" w:cs="Segoe UI"/>
      <w:sz w:val="18"/>
      <w:szCs w:val="18"/>
    </w:rPr>
  </w:style>
  <w:style w:type="paragraph" w:styleId="Textkrper-Zeileneinzug">
    <w:name w:val="Body Text Indent"/>
    <w:basedOn w:val="Standard"/>
    <w:pPr>
      <w:ind w:left="34"/>
    </w:pPr>
    <w:rPr>
      <w:sz w:val="28"/>
      <w:szCs w:val="28"/>
    </w:rPr>
  </w:style>
  <w:style w:type="paragraph" w:customStyle="1" w:styleId="Listenabsatz1">
    <w:name w:val="Listenabsatz1"/>
    <w:basedOn w:val="Standard"/>
    <w:pPr>
      <w:ind w:left="720"/>
      <w:contextualSpacing/>
    </w:pPr>
  </w:style>
  <w:style w:type="paragraph" w:customStyle="1" w:styleId="Textkrper21">
    <w:name w:val="Textkörper 21"/>
    <w:basedOn w:val="Standard"/>
    <w:pPr>
      <w:spacing w:line="276" w:lineRule="auto"/>
      <w:jc w:val="both"/>
    </w:pPr>
  </w:style>
  <w:style w:type="paragraph" w:customStyle="1" w:styleId="Textkrper31">
    <w:name w:val="Textkörper 31"/>
    <w:basedOn w:val="Standard"/>
    <w:rPr>
      <w:sz w:val="36"/>
      <w:szCs w:val="36"/>
    </w:rPr>
  </w:style>
  <w:style w:type="paragraph" w:customStyle="1" w:styleId="Textkrper-Einzug21">
    <w:name w:val="Textkörper-Einzug 21"/>
    <w:basedOn w:val="Standard"/>
    <w:pPr>
      <w:widowControl w:val="0"/>
      <w:spacing w:line="276" w:lineRule="auto"/>
      <w:ind w:left="27"/>
      <w:contextualSpacing/>
    </w:pPr>
    <w:rPr>
      <w:i/>
      <w:iCs/>
      <w:sz w:val="20"/>
      <w:szCs w:val="20"/>
    </w:rPr>
  </w:style>
  <w:style w:type="paragraph" w:customStyle="1" w:styleId="Rahmeninhalt">
    <w:name w:val="Rahmeninhalt"/>
    <w:basedOn w:val="Standard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3A2A7A"/>
    <w:rPr>
      <w:rFonts w:ascii="Segoe UI" w:hAnsi="Segoe UI" w:cs="Segoe UI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3A2A7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56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A56B6"/>
    <w:rPr>
      <w:rFonts w:ascii="Calibri" w:hAnsi="Calibri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EA56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56B6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Bublys</dc:creator>
  <cp:keywords/>
  <cp:lastModifiedBy>Marion Meschede</cp:lastModifiedBy>
  <cp:revision>13</cp:revision>
  <cp:lastPrinted>1995-11-21T16:41:00Z</cp:lastPrinted>
  <dcterms:created xsi:type="dcterms:W3CDTF">2020-12-10T10:28:00Z</dcterms:created>
  <dcterms:modified xsi:type="dcterms:W3CDTF">2024-12-16T10:03:00Z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